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GREECE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78.5875</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4,779,908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78.5495</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4,780,959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78.3705</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4,782,027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$77.73 to $79.22 on July 28, 2026; (2) $77.63 to $79.88 on July 29, 2026; and (3) $77.65 to $79.29 on July 30,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107,594 common units owned through Raymar Investments S.A., an entity affiliated with Ms. Frangou, pursuant to a Rule 10b5-1 trading plan with UBS Financial Services Inc as of July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108,645 common units owned through Raymar Investments S.A., an entity affiliated with Ms. Frangou, pursuant to a Rule 10b5-1 trading plan with UBS Financial Services Inc as of July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109,713 common units owned through Raymar Investments S.A., an entity affiliated with Ms. Frangou, pursuant to a Rule 10b5-1 trading plan with UBS Financial Services Inc as of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30,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5748</Characters>
  <CharactersWithSpaces>6695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