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Frangou Angeliki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NAVIOS SHIPMANAGEMENT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AKTI MIAOULI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Navios Maritime Partners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NMM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85" w:orient="portrait"/>
          <w:cols w:equalWidth="0" w:num="3">
            <w:col w:w="3200" w:space="720"/>
            <w:col w:w="3320" w:space="49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PIRAEUS</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J3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18538</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8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w w:val="98"/>
              </w:rPr>
              <w:t>05/27/2026</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89"/>
              <w:spacing w:after="0"/>
              <w:rPr>
                <w:sz w:val="20"/>
                <w:szCs w:val="20"/>
                <w:color w:val="auto"/>
              </w:rPr>
            </w:pPr>
            <w:r>
              <w:rPr>
                <w:rFonts w:ascii="Times New Roman" w:cs="Times New Roman" w:eastAsia="Times New Roman" w:hAnsi="Times New Roman"/>
                <w:sz w:val="17"/>
                <w:szCs w:val="17"/>
                <w:color w:val="0000FF"/>
              </w:rPr>
              <w:t>1,132</w:t>
            </w:r>
          </w:p>
        </w:tc>
        <w:tc>
          <w:tcPr>
            <w:tcW w:w="46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72.6112</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4,731,853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w w:val="98"/>
              </w:rPr>
              <w:t>05/28/2026</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89"/>
              <w:spacing w:after="0"/>
              <w:rPr>
                <w:sz w:val="20"/>
                <w:szCs w:val="20"/>
                <w:color w:val="auto"/>
              </w:rPr>
            </w:pPr>
            <w:r>
              <w:rPr>
                <w:rFonts w:ascii="Times New Roman" w:cs="Times New Roman" w:eastAsia="Times New Roman" w:hAnsi="Times New Roman"/>
                <w:sz w:val="17"/>
                <w:szCs w:val="17"/>
                <w:color w:val="0000FF"/>
              </w:rPr>
              <w:t>1,170</w:t>
            </w:r>
          </w:p>
        </w:tc>
        <w:tc>
          <w:tcPr>
            <w:tcW w:w="46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70.651</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4,733,023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w w:val="98"/>
              </w:rPr>
              <w:t>05/29/2026</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89"/>
              <w:spacing w:after="0"/>
              <w:rPr>
                <w:sz w:val="20"/>
                <w:szCs w:val="20"/>
                <w:color w:val="auto"/>
              </w:rPr>
            </w:pPr>
            <w:r>
              <w:rPr>
                <w:rFonts w:ascii="Times New Roman" w:cs="Times New Roman" w:eastAsia="Times New Roman" w:hAnsi="Times New Roman"/>
                <w:sz w:val="17"/>
                <w:szCs w:val="17"/>
                <w:color w:val="0000FF"/>
              </w:rPr>
              <w:t>1,196</w:t>
            </w:r>
          </w:p>
        </w:tc>
        <w:tc>
          <w:tcPr>
            <w:tcW w:w="46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69.572</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4,734,219</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366,776</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General Partnership Unit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622,296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made pursuant to a Rule 10b5-1 trading plan between Raymar Investments S.A., an entity affiliated with Ms. Frangou, and UBS Financial Services Inc. adopted on December 9, 2025.</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in multiple transactions each day at prices ranging from (1) $71.83 to $73.32 on May 27, 2026; (2) $69.57 to $71.53 on May 28, 2026; and (3) $69.12 to $70.11 on May 29,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59,539 common units owned through Raymar Investments S.A., an entity affiliated with Ms. Frangou, pursuant to a Rule 10b5-1 trading plan with UBS Financial Services Inc as of May 27,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60,709 common units owned through Raymar Investments S.A., an entity affiliated with Ms. Frangou, pursuant to a Rule 10b5-1 trading plan with UBS Financial Services Inc as of May 28,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61,905 common units owned through Raymar Investments S.A., an entity affiliated with Ms. Frangou, pursuant to a Rule 10b5-1 trading plan with UBS Financial Services Inc as of May 29, 2026.</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Olympos Maritime Ltd., an entity affiliated with Ms. Frangou, is the general partner (the "General Partner") of Navios Maritime Partners L.P. ("NMM"). As of May 29, 2026, the General Partner owns 622,296 general partnership units, representing an approximately 2.1% ownership interest in NMM based on all outstanding common units and general partnership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&amp; Chairwoman of the Board</w:t>
      </w:r>
    </w:p>
    <w:p>
      <w:pPr>
        <w:sectPr>
          <w:pgSz w:w="11900" w:h="16885"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Todd Mason, by POA from 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Chairwoman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10495" TargetMode="External"/><Relationship Id="rId14" Type="http://schemas.openxmlformats.org/officeDocument/2006/relationships/hyperlink" Target="http://www.sec.gov/cgi-bin/browse-edgar?action=getcompany&amp;CIK=000141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2026-05-29T20:12:12Z</dcterms:created>
  <dcterms:modified xsi:type="dcterms:W3CDTF">2026-05-29T20:12:12Z</dcterms:modified>
</cp:coreProperties>
</file>