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File No. 333-296172</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3108325</wp:posOffset>
            </wp:positionH>
            <wp:positionV relativeFrom="paragraph">
              <wp:posOffset>182245</wp:posOffset>
            </wp:positionV>
            <wp:extent cx="92583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583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NAVIOS MARITIME PARTNERS L.P.</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UNITS</w:t>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REPRESENTING LIMITED PARTNERSHIP INTERESTS</w:t>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up to $500,000,000 aggregate principal amount of common units and/or debt securities. The securities covered by this prospectus may be offered and sold from time to time at fixed prices, at market prices or at negotiated prices, in the same offering or in separate offerings, to or through underwriters and also to other purchasers or through agents. We will set forth the names of any underwriters or agents in the accompanying prospectus supplement.</w:t>
      </w:r>
    </w:p>
    <w:p>
      <w:pPr>
        <w:spacing w:after="0" w:line="180" w:lineRule="exact"/>
        <w:rPr>
          <w:sz w:val="24"/>
          <w:szCs w:val="24"/>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common units are listed on the New York Stock Exchange under the symbol “NMM.” On June 2, 2026, the last reported sales price of our common units on the New York Stock Exchange was $72.08 per common unit.</w:t>
      </w:r>
    </w:p>
    <w:p>
      <w:pPr>
        <w:spacing w:after="0" w:line="162" w:lineRule="exact"/>
        <w:rPr>
          <w:sz w:val="24"/>
          <w:szCs w:val="24"/>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Each time we sell securities pursuant to this prospectus, we will provide a supplement to this prospectus that contains specific information about the offer or, the offering and the specific terms of the securities offered. This prospectus may not be used to consummate a sale of securities by us unless accompanied by the applicable prospectus supplement. You should read this prospectus and the applicable prospectus supplement carefully before you invest in our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120" w:right="36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our common units involves risks that are described in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section beginning on page 8 of this prospectus.</w:t>
      </w:r>
    </w:p>
    <w:p>
      <w:pPr>
        <w:spacing w:after="0" w:line="159" w:lineRule="exact"/>
        <w:rPr>
          <w:sz w:val="24"/>
          <w:szCs w:val="24"/>
          <w:color w:val="auto"/>
        </w:rPr>
      </w:pPr>
    </w:p>
    <w:p>
      <w:pPr>
        <w:ind w:left="120" w:right="60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consummate sales of securities unless it is accompanied by a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We have not, and the underwriters have not, authorized anyone to provide you with additional information or information different from that contained in or incorporated by reference into this prospectus. If anyone provides you with different or inconsistent information, you should not rely on it. We are not, and the underwriters are not, making an offer to sell these securities in any jurisdiction where an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6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26"/>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84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OFFER STATISTICS AND EXPECTED TIMETABLE</w:t>
            </w:r>
          </w:p>
        </w:tc>
        <w:tc>
          <w:tcPr>
            <w:tcW w:w="664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OFFER AND LISTING DETAILS</w:t>
            </w:r>
          </w:p>
        </w:tc>
        <w:tc>
          <w:tcPr>
            <w:tcW w:w="400" w:type="dxa"/>
            <w:vAlign w:val="bottom"/>
            <w:tcBorders>
              <w:top w:val="single" w:sz="8" w:color="0000EE"/>
            </w:tcBorders>
            <w:gridSpan w:val="2"/>
          </w:tcPr>
          <w:p>
            <w:pPr>
              <w:spacing w:after="0"/>
              <w:rPr>
                <w:sz w:val="17"/>
                <w:szCs w:val="17"/>
                <w:color w:val="auto"/>
              </w:rPr>
            </w:pPr>
          </w:p>
        </w:tc>
        <w:tc>
          <w:tcPr>
            <w:tcW w:w="774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CAPITALIZATION AND INDEBTEDNESS</w:t>
            </w:r>
          </w:p>
        </w:tc>
        <w:tc>
          <w:tcPr>
            <w:tcW w:w="738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INFORMATION REGARDING THE MARKET FOR OUR COMMON UNITS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THE SECURITIES WE MAY OFFER</w:t>
            </w:r>
          </w:p>
        </w:tc>
        <w:tc>
          <w:tcPr>
            <w:tcW w:w="486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278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COMMON UNITS</w:t>
            </w:r>
          </w:p>
        </w:tc>
        <w:tc>
          <w:tcPr>
            <w:tcW w:w="788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DEBT SECURITIES</w:t>
            </w:r>
          </w:p>
        </w:tc>
        <w:tc>
          <w:tcPr>
            <w:tcW w:w="9120" w:type="dxa"/>
            <w:vAlign w:val="bottom"/>
            <w:gridSpan w:val="2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LEGAL OWNERSHIP OF SECURITIES</w:t>
            </w:r>
          </w:p>
        </w:tc>
        <w:tc>
          <w:tcPr>
            <w:tcW w:w="76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6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OUR CASH DISTRIBUTION POLICY AND RESTRICTIONS ON DISTRIBUTIONS</w:t>
            </w:r>
          </w:p>
        </w:tc>
        <w:tc>
          <w:tcPr>
            <w:tcW w:w="430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3660" w:type="dxa"/>
            <w:vAlign w:val="bottom"/>
            <w:tcBorders>
              <w:top w:val="single" w:sz="8" w:color="0000EE"/>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MARSHALL ISLANDS TAX CONSEQUENCES</w:t>
            </w:r>
          </w:p>
        </w:tc>
        <w:tc>
          <w:tcPr>
            <w:tcW w:w="1200" w:type="dxa"/>
            <w:vAlign w:val="bottom"/>
            <w:tcBorders>
              <w:top w:val="single" w:sz="8" w:color="0000EE"/>
            </w:tcBorders>
            <w:gridSpan w:val="3"/>
          </w:tcPr>
          <w:p>
            <w:pPr>
              <w:spacing w:after="0"/>
              <w:rPr>
                <w:sz w:val="17"/>
                <w:szCs w:val="17"/>
                <w:color w:val="auto"/>
              </w:rPr>
            </w:pPr>
          </w:p>
        </w:tc>
        <w:tc>
          <w:tcPr>
            <w:tcW w:w="58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20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MATERIAL CHANGES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18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886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15"/>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INTERESTS OF EXPERTS AND COUNSEL</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334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EXPENSES</w:t>
            </w:r>
          </w:p>
        </w:tc>
        <w:tc>
          <w:tcPr>
            <w:tcW w:w="732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880" w:type="dxa"/>
            <w:vAlign w:val="bottom"/>
            <w:gridSpan w:val="2"/>
            <w:shd w:val="clear" w:color="auto" w:fill="0000EE"/>
          </w:tcPr>
          <w:p>
            <w:pPr>
              <w:spacing w:after="0" w:line="20" w:lineRule="exact"/>
              <w:rPr>
                <w:sz w:val="1"/>
                <w:szCs w:val="1"/>
                <w:color w:val="auto"/>
              </w:rPr>
            </w:pPr>
          </w:p>
        </w:tc>
        <w:tc>
          <w:tcPr>
            <w:tcW w:w="3520" w:type="dxa"/>
            <w:vAlign w:val="bottom"/>
            <w:gridSpan w:val="18"/>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548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400" w:type="dxa"/>
            <w:vAlign w:val="bottom"/>
            <w:gridSpan w:val="20"/>
            <w:shd w:val="clear" w:color="auto" w:fill="0000EE"/>
          </w:tcPr>
          <w:p>
            <w:pPr>
              <w:spacing w:after="0" w:line="20" w:lineRule="exact"/>
              <w:rPr>
                <w:sz w:val="1"/>
                <w:szCs w:val="1"/>
                <w:color w:val="auto"/>
              </w:rPr>
            </w:pPr>
          </w:p>
        </w:tc>
        <w:tc>
          <w:tcPr>
            <w:tcW w:w="4020" w:type="dxa"/>
            <w:vAlign w:val="bottom"/>
            <w:gridSpan w:val="5"/>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 AND INDEMNIFICATION FOR SECURITIES ACT LIABILITIES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As used in this prospectus, references to “Navios Maritime Partners L.P.,” “the Company,” “we,” “our,” “us” and similar terms refer to Navios Maritime Partners Limited Partnership.</w:t>
      </w:r>
    </w:p>
    <w:p>
      <w:pPr>
        <w:spacing w:after="0" w:line="16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References in this prospectus to “Olympos Maritime” or the “General Partner” refer to Olympos Maritime Ltd., our General Partner. References in this prospectus to our “IPO” refer to our initial public offering, which was consummated on November 12, 2007.</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and any applicable prospectus supplement do not constitute an offer to sell or the solicitation of an offer to buy any securities other than the registered securities to which they relate. We are not making offers to sell our common units or any other securities described in this prospectus in any jurisdiction in which an offer or solicitation is not authorized or in which the person making such offer or solicitation is not qualified to do so or to anyone to whom it is unlawful to make an offer or solicitation. This prospectus is part of a registration statement that we filed with the U.S. Securities and Exchange Commission (the “SEC”), utilizing a “shelf” registration process. Under this shelf process, we may sell any combination of the securities described in this prospectus in one or more offerings up to a total dollar amount of U.S. $500,000,000. We have provided to you in this prospectus a general description of the securities we may offer. Each time we sell securities, we will provide a prospectus supplement that will contain specific information about the terms of that offering. In any applicable prospectus supplements, we may add to, update or change any of the information contained in this prospectus.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If the information varies between this prospectus and the accompanying prospectus supplement, you should rely on the information in the accompanying prospectus supplement.</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Before purchasing any securities, you should carefully read both this prospectus and any prospectus supplement, together with the additional information as described below under the heading “Incorporation of Certain Information by Reference.” You should rely only on the information contained or incorporated by reference in this prospectus, any prospectus supplement, and any free writing prospectus prepared by or on behalf of us or to which we have referred you. Neither we nor any underwriters have authorized any other person to provide you with different information. If anyone provides you with different or inconsistent information, you should not rely on it. We take no responsibility for, and can provide no assurance as to the reliability of, any other information that others may give you.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12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is only a summary. We urge you to carefully read this entire prospectus and the documents incorporated by reference herein, including our consolidated financial statements and the related notes and the information in the section entitled “Management’s Discussion and Analysis of Financial Condition and Results of Operations.” As an investor or prospective investor, you should also review carefully the sections entitled “Cautionary Statement Regarding Forward-Looking Statements” and “Risk Factors” in this prospectus (beginning on page 8) and in our annual report on Form 20-F for the year ended December 31, 2025, filed with the SEC on March 12, 2026 (the “Annual Report”), which is incorporated by reference herein. Unless otherwise indicated, all data regarding our fleet in this prospectus is as of May 15, 2026.</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Navios Partners is an international owner and operator of dry cargo and tanker vessels, formed on August 7, 2007 under the laws of the Republic of the Marshall Islands as a limited partnership pursuant to the Marshall Islands Limited Partnership Act. Olympos Maritime Ltd. is Navios Partners’ General Partner and currently owns all the general partnership units representing an approximately 2.1% ownership interest in Navios Partners based on all outstanding common units and general partnership units.</w:t>
      </w:r>
    </w:p>
    <w:p>
      <w:pPr>
        <w:spacing w:after="0" w:line="180"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Navios Partners is engaged in the seaborne transportation services of a wide range of liquid and dry cargo commodities including crude oil, refined petroleum products, iron ore, oil, coal, grain, fertilizer and containers, chartering its vessels under short, medium and long-term charters. The operations of Navios Partners are managed by Navios Shipmanagement Inc. and its affiliates (the “Manager”), which are entities affiliated with the Company’s Chairwoman and Chief Executive Officer. The operations of Navios Partners are managed by the Manager from its offices in Greece, Singapore and Monaco.</w:t>
      </w:r>
    </w:p>
    <w:p>
      <w:pPr>
        <w:spacing w:after="0" w:line="183"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Navios Partners are located at c/o 85 Akti Miaouli, Piraeus 18538, Greece, and its telephone number is + (30) 2104595000.</w:t>
      </w:r>
    </w:p>
    <w:p>
      <w:pPr>
        <w:spacing w:after="0" w:line="162" w:lineRule="exact"/>
        <w:rPr>
          <w:sz w:val="20"/>
          <w:szCs w:val="20"/>
          <w:color w:val="auto"/>
        </w:rPr>
      </w:pPr>
    </w:p>
    <w:p>
      <w:pPr>
        <w:ind w:left="300" w:right="160" w:firstLine="426"/>
        <w:spacing w:after="0" w:line="266" w:lineRule="auto"/>
        <w:rPr>
          <w:sz w:val="20"/>
          <w:szCs w:val="20"/>
          <w:color w:val="auto"/>
        </w:rPr>
      </w:pPr>
      <w:r>
        <w:rPr>
          <w:rFonts w:ascii="Times New Roman" w:cs="Times New Roman" w:eastAsia="Times New Roman" w:hAnsi="Times New Roman"/>
          <w:sz w:val="18"/>
          <w:szCs w:val="18"/>
          <w:color w:val="auto"/>
        </w:rPr>
        <w:t>The SEC maintains an internet site that contains reports, proxy and information statements, and other information regarding issuers that file electronically with the SEC at http://www.sec.gov. The address of the Company’s internet site is https://www.navios-mlp.com. Information contained on this website does not constitute part of this report.</w:t>
      </w:r>
    </w:p>
    <w:p>
      <w:pPr>
        <w:spacing w:after="0" w:line="2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Fleet</w:t>
      </w:r>
    </w:p>
    <w:p>
      <w:pPr>
        <w:spacing w:after="0" w:line="229" w:lineRule="exact"/>
        <w:rPr>
          <w:sz w:val="20"/>
          <w:szCs w:val="20"/>
          <w:color w:val="auto"/>
        </w:rPr>
      </w:pPr>
    </w:p>
    <w:p>
      <w:pPr>
        <w:ind w:left="300" w:right="180" w:firstLine="426"/>
        <w:spacing w:after="0" w:line="256" w:lineRule="auto"/>
        <w:rPr>
          <w:sz w:val="20"/>
          <w:szCs w:val="20"/>
          <w:color w:val="auto"/>
        </w:rPr>
      </w:pPr>
      <w:r>
        <w:rPr>
          <w:rFonts w:ascii="Times New Roman" w:cs="Times New Roman" w:eastAsia="Times New Roman" w:hAnsi="Times New Roman"/>
          <w:sz w:val="18"/>
          <w:szCs w:val="18"/>
          <w:color w:val="auto"/>
        </w:rPr>
        <w:t>As of May 15, 2026, Navios Partners’ fleet consisted of 65 dry bulk vessels, 51 containerships and 57 tanker vessels, including two newbuilding capesize vessels (chartered-in vessels under bareboat contracts) that are expected to be delivered in the second half of 2028 and the first quarter of 2029, seven newbuilding containerships (three 7,900 TEU containerships and four 8,850 TEU containerships) that are expected to be delivered through the first half of 2028 and 17 newbuilding tankers (four VLCC tankers, nine aframax/LR2 and four MR2 product tanker chartered-in vessels under bareboat contracts) that are expected to be delivered through 2028. The fleet excludes a VLCC tanker and a panamax vessel that have been agreed to be sold.</w:t>
      </w:r>
    </w:p>
    <w:p>
      <w:pPr>
        <w:spacing w:after="0" w:line="187" w:lineRule="exact"/>
        <w:rPr>
          <w:sz w:val="20"/>
          <w:szCs w:val="20"/>
          <w:color w:val="auto"/>
        </w:rPr>
      </w:pPr>
    </w:p>
    <w:p>
      <w:pPr>
        <w:ind w:left="300" w:right="240" w:firstLine="426"/>
        <w:spacing w:after="0" w:line="261" w:lineRule="auto"/>
        <w:rPr>
          <w:sz w:val="20"/>
          <w:szCs w:val="20"/>
          <w:color w:val="auto"/>
        </w:rPr>
      </w:pPr>
      <w:r>
        <w:rPr>
          <w:rFonts w:ascii="Times New Roman" w:cs="Times New Roman" w:eastAsia="Times New Roman" w:hAnsi="Times New Roman"/>
          <w:sz w:val="18"/>
          <w:szCs w:val="18"/>
          <w:color w:val="auto"/>
        </w:rPr>
        <w:t>We generate revenues by charging our customers for the use of our vessels to transport their dry cargo commodities, containers, crude oil and/or refined petroleum products. In general, the vessels in our fleet are chartered-out under time charters with durations of up to 12 years at inception. From time to time, we operate vessels in the spot market until the vessels have been chartered out under short-term, medium-term and long-term charters.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1704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71704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provides summary information about our fleet as of May 15, 2026:</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3"/>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Owned Dry bulk Vessels</w:t>
            </w:r>
          </w:p>
        </w:tc>
        <w:tc>
          <w:tcPr>
            <w:tcW w:w="2500" w:type="dxa"/>
            <w:vAlign w:val="bottom"/>
          </w:tcPr>
          <w:p>
            <w:pPr>
              <w:spacing w:after="0"/>
              <w:rPr>
                <w:sz w:val="13"/>
                <w:szCs w:val="13"/>
                <w:color w:val="auto"/>
              </w:rPr>
            </w:pPr>
          </w:p>
        </w:tc>
        <w:tc>
          <w:tcPr>
            <w:tcW w:w="17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192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4060" w:type="dxa"/>
            <w:vAlign w:val="bottom"/>
            <w:gridSpan w:val="3"/>
            <w:vMerge w:val="continue"/>
          </w:tcPr>
          <w:p>
            <w:pPr>
              <w:spacing w:after="0"/>
              <w:rPr>
                <w:sz w:val="15"/>
                <w:szCs w:val="15"/>
                <w:color w:val="auto"/>
              </w:rPr>
            </w:pPr>
          </w:p>
        </w:tc>
        <w:tc>
          <w:tcPr>
            <w:tcW w:w="25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920" w:type="dxa"/>
            <w:vAlign w:val="bottom"/>
            <w:gridSpan w:val="3"/>
          </w:tcPr>
          <w:p>
            <w:pPr>
              <w:jc w:val="center"/>
              <w:ind w:right="1120"/>
              <w:spacing w:after="0" w:line="160" w:lineRule="exact"/>
              <w:rPr>
                <w:sz w:val="20"/>
                <w:szCs w:val="20"/>
                <w:color w:val="auto"/>
              </w:rPr>
            </w:pPr>
            <w:r>
              <w:rPr>
                <w:rFonts w:ascii="Times New Roman" w:cs="Times New Roman" w:eastAsia="Times New Roman" w:hAnsi="Times New Roman"/>
                <w:sz w:val="14"/>
                <w:szCs w:val="14"/>
                <w:b w:val="1"/>
                <w:bCs w:val="1"/>
                <w:color w:val="auto"/>
              </w:rPr>
              <w:t>(DWT)</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Navios Christine B</w:t>
            </w:r>
          </w:p>
        </w:tc>
        <w:tc>
          <w:tcPr>
            <w:tcW w:w="152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Ultra-Handymax</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2009</w:t>
            </w:r>
          </w:p>
        </w:tc>
        <w:tc>
          <w:tcPr>
            <w:tcW w:w="3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58,058</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Celestial</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Ultra-Handymax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58,063</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Venus</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Ultra-Handymax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61,339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La Paix</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Ultra-Handymax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61,485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 Amalthia </w:t>
            </w:r>
            <w:r>
              <w:rPr>
                <w:rFonts w:ascii="Times New Roman" w:cs="Times New Roman" w:eastAsia="Times New Roman" w:hAnsi="Times New Roman"/>
                <w:sz w:val="25"/>
                <w:szCs w:val="25"/>
                <w:color w:val="auto"/>
                <w:vertAlign w:val="superscript"/>
              </w:rPr>
              <w:t>(3)</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Panamax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75,356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Victory</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Panamax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77,095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Rainbow N</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Panamax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79,602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Unity N</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Panamax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79,642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Odysseus N</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Panamax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79,642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Amber</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80,909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Avior</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81,355</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Centaurus</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81,472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Citrine</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81,626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Dolphin</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81,630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Horizon I </w:t>
            </w:r>
            <w:r>
              <w:rPr>
                <w:rFonts w:ascii="Times New Roman" w:cs="Times New Roman" w:eastAsia="Times New Roman" w:hAnsi="Times New Roman"/>
                <w:sz w:val="25"/>
                <w:szCs w:val="25"/>
                <w:color w:val="auto"/>
                <w:vertAlign w:val="superscript"/>
              </w:rPr>
              <w:t>(5)</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81,692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Galaxy II</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81,789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Uranus</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81,821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Felicity I</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81,962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Primavera </w:t>
            </w:r>
            <w:r>
              <w:rPr>
                <w:rFonts w:ascii="Times New Roman" w:cs="Times New Roman" w:eastAsia="Times New Roman" w:hAnsi="Times New Roman"/>
                <w:sz w:val="25"/>
                <w:szCs w:val="25"/>
                <w:color w:val="auto"/>
                <w:vertAlign w:val="superscript"/>
              </w:rPr>
              <w:t>(1)</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82,003</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Meridian </w:t>
            </w:r>
            <w:r>
              <w:rPr>
                <w:rFonts w:ascii="Times New Roman" w:cs="Times New Roman" w:eastAsia="Times New Roman" w:hAnsi="Times New Roman"/>
                <w:sz w:val="25"/>
                <w:szCs w:val="25"/>
                <w:color w:val="auto"/>
                <w:vertAlign w:val="superscript"/>
              </w:rPr>
              <w:t>(1)</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82,010</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Herakles I </w:t>
            </w:r>
            <w:r>
              <w:rPr>
                <w:rFonts w:ascii="Times New Roman" w:cs="Times New Roman" w:eastAsia="Times New Roman" w:hAnsi="Times New Roman"/>
                <w:sz w:val="25"/>
                <w:szCs w:val="25"/>
                <w:color w:val="auto"/>
                <w:vertAlign w:val="superscript"/>
              </w:rPr>
              <w:t>(2)</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82,036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Magellan II</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82,037</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Sky </w:t>
            </w:r>
            <w:r>
              <w:rPr>
                <w:rFonts w:ascii="Times New Roman" w:cs="Times New Roman" w:eastAsia="Times New Roman" w:hAnsi="Times New Roman"/>
                <w:sz w:val="25"/>
                <w:szCs w:val="25"/>
                <w:color w:val="auto"/>
                <w:vertAlign w:val="superscript"/>
              </w:rPr>
              <w:t>(1)</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82,056</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Alegria </w:t>
            </w:r>
            <w:r>
              <w:rPr>
                <w:rFonts w:ascii="Times New Roman" w:cs="Times New Roman" w:eastAsia="Times New Roman" w:hAnsi="Times New Roman"/>
                <w:sz w:val="25"/>
                <w:szCs w:val="25"/>
                <w:color w:val="auto"/>
                <w:vertAlign w:val="superscript"/>
              </w:rPr>
              <w:t>(5)</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84,852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Sphera</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84,872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Coral</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Kamsarmax</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84,904</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Stellar </w:t>
            </w:r>
            <w:r>
              <w:rPr>
                <w:rFonts w:ascii="Times New Roman" w:cs="Times New Roman" w:eastAsia="Times New Roman" w:hAnsi="Times New Roman"/>
                <w:sz w:val="25"/>
                <w:szCs w:val="25"/>
                <w:color w:val="auto"/>
                <w:vertAlign w:val="superscript"/>
              </w:rPr>
              <w:t>(1)</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168,818</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Aurora II</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169,031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Antares</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169,059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Symphony</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177,960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Ace </w:t>
            </w:r>
            <w:r>
              <w:rPr>
                <w:rFonts w:ascii="Times New Roman" w:cs="Times New Roman" w:eastAsia="Times New Roman" w:hAnsi="Times New Roman"/>
                <w:sz w:val="25"/>
                <w:szCs w:val="25"/>
                <w:color w:val="auto"/>
                <w:vertAlign w:val="superscript"/>
              </w:rPr>
              <w:t>(1)</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178,929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Aster</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178,978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Melodia</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178,982</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Buena Ventura</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179,109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Luz</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179,144</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Altamira</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179,165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Azimuth </w:t>
            </w:r>
            <w:r>
              <w:rPr>
                <w:rFonts w:ascii="Times New Roman" w:cs="Times New Roman" w:eastAsia="Times New Roman" w:hAnsi="Times New Roman"/>
                <w:sz w:val="25"/>
                <w:szCs w:val="25"/>
                <w:color w:val="auto"/>
                <w:vertAlign w:val="superscript"/>
              </w:rPr>
              <w:t>(1)</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Bonheur</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179,204</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Etoile</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179,234</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Fulvia</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179,263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Ray </w:t>
            </w:r>
            <w:r>
              <w:rPr>
                <w:rFonts w:ascii="Times New Roman" w:cs="Times New Roman" w:eastAsia="Times New Roman" w:hAnsi="Times New Roman"/>
                <w:sz w:val="25"/>
                <w:szCs w:val="25"/>
                <w:color w:val="auto"/>
                <w:vertAlign w:val="superscript"/>
              </w:rPr>
              <w:t>(1)</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179,515</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Happiness</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Bonavis </w:t>
            </w:r>
            <w:r>
              <w:rPr>
                <w:rFonts w:ascii="Times New Roman" w:cs="Times New Roman" w:eastAsia="Times New Roman" w:hAnsi="Times New Roman"/>
                <w:sz w:val="25"/>
                <w:szCs w:val="25"/>
                <w:color w:val="auto"/>
                <w:vertAlign w:val="superscript"/>
              </w:rPr>
              <w:t>(1)</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180,022</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Fantastiks</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180,055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Phoenix</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180,060</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Sol </w:t>
            </w:r>
            <w:r>
              <w:rPr>
                <w:rFonts w:ascii="Times New Roman" w:cs="Times New Roman" w:eastAsia="Times New Roman" w:hAnsi="Times New Roman"/>
                <w:sz w:val="25"/>
                <w:szCs w:val="25"/>
                <w:color w:val="auto"/>
                <w:vertAlign w:val="superscript"/>
              </w:rPr>
              <w:t>(1)</w:t>
            </w:r>
          </w:p>
        </w:tc>
        <w:tc>
          <w:tcPr>
            <w:tcW w:w="4220" w:type="dxa"/>
            <w:vAlign w:val="bottom"/>
            <w:gridSpan w:val="3"/>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180,274</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0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Lumen </w:t>
            </w:r>
            <w:r>
              <w:rPr>
                <w:rFonts w:ascii="Times New Roman" w:cs="Times New Roman" w:eastAsia="Times New Roman" w:hAnsi="Times New Roman"/>
                <w:sz w:val="25"/>
                <w:szCs w:val="25"/>
                <w:color w:val="auto"/>
                <w:vertAlign w:val="superscript"/>
              </w:rPr>
              <w:t>(5)</w:t>
            </w:r>
          </w:p>
        </w:tc>
        <w:tc>
          <w:tcPr>
            <w:tcW w:w="4220" w:type="dxa"/>
            <w:vAlign w:val="bottom"/>
            <w:gridSpan w:val="3"/>
            <w:shd w:val="clear" w:color="auto" w:fill="CCEEFF"/>
          </w:tcPr>
          <w:p>
            <w:pPr>
              <w:ind w:left="2500"/>
              <w:spacing w:after="0"/>
              <w:rPr>
                <w:sz w:val="20"/>
                <w:szCs w:val="20"/>
                <w:color w:val="auto"/>
              </w:rPr>
            </w:pPr>
            <w:r>
              <w:rPr>
                <w:rFonts w:ascii="Times New Roman" w:cs="Times New Roman" w:eastAsia="Times New Roman" w:hAnsi="Times New Roman"/>
                <w:sz w:val="18"/>
                <w:szCs w:val="18"/>
                <w:color w:val="auto"/>
              </w:rPr>
              <w:t>Capesize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180,493</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0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3</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03"/>
        </w:trPr>
        <w:tc>
          <w:tcPr>
            <w:tcW w:w="2880" w:type="dxa"/>
            <w:vAlign w:val="bottom"/>
            <w:tcBorders>
              <w:top w:val="single" w:sz="8" w:color="auto"/>
              <w:left w:val="single" w:sz="8" w:color="auto"/>
            </w:tcBorders>
            <w:gridSpan w:val="4"/>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Owned Dry bulk Vessels</w:t>
            </w:r>
          </w:p>
        </w:tc>
        <w:tc>
          <w:tcPr>
            <w:tcW w:w="40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4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00" w:type="dxa"/>
            <w:vAlign w:val="bottom"/>
            <w:tcBorders>
              <w:top w:val="single" w:sz="8" w:color="auto"/>
              <w:right w:val="single" w:sz="8" w:color="auto"/>
            </w:tcBorders>
            <w:gridSpan w:val="4"/>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2880" w:type="dxa"/>
            <w:vAlign w:val="bottom"/>
            <w:tcBorders>
              <w:left w:val="single" w:sz="8" w:color="auto"/>
            </w:tcBorders>
            <w:gridSpan w:val="4"/>
            <w:vMerge w:val="continue"/>
          </w:tcPr>
          <w:p>
            <w:pPr>
              <w:spacing w:after="0"/>
              <w:rPr>
                <w:sz w:val="15"/>
                <w:szCs w:val="15"/>
                <w:color w:val="auto"/>
              </w:rPr>
            </w:pPr>
          </w:p>
        </w:tc>
        <w:tc>
          <w:tcPr>
            <w:tcW w:w="404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tcBorders>
              <w:right w:val="single" w:sz="8" w:color="auto"/>
            </w:tcBorders>
            <w:gridSpan w:val="4"/>
          </w:tcPr>
          <w:p>
            <w:pPr>
              <w:jc w:val="center"/>
              <w:ind w:right="1100"/>
              <w:spacing w:after="0" w:line="160" w:lineRule="exact"/>
              <w:rPr>
                <w:sz w:val="20"/>
                <w:szCs w:val="20"/>
                <w:color w:val="auto"/>
              </w:rPr>
            </w:pPr>
            <w:r>
              <w:rPr>
                <w:rFonts w:ascii="Times New Roman" w:cs="Times New Roman" w:eastAsia="Times New Roman" w:hAnsi="Times New Roman"/>
                <w:sz w:val="14"/>
                <w:szCs w:val="14"/>
                <w:b w:val="1"/>
                <w:bCs w:val="1"/>
                <w:color w:val="auto"/>
              </w:rPr>
              <w:t>(DWT)</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150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Navios Canary</w:t>
            </w:r>
          </w:p>
        </w:tc>
        <w:tc>
          <w:tcPr>
            <w:tcW w:w="340" w:type="dxa"/>
            <w:vAlign w:val="bottom"/>
            <w:tcBorders>
              <w:top w:val="single" w:sz="8" w:color="CCEEFF"/>
            </w:tcBorders>
            <w:shd w:val="clear" w:color="auto" w:fill="CCEEFF"/>
          </w:tcPr>
          <w:p>
            <w:pPr>
              <w:spacing w:after="0"/>
              <w:rPr>
                <w:sz w:val="17"/>
                <w:szCs w:val="17"/>
                <w:color w:val="auto"/>
              </w:rPr>
            </w:pPr>
          </w:p>
        </w:tc>
        <w:tc>
          <w:tcPr>
            <w:tcW w:w="4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Capesize</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4"/>
              </w:rPr>
              <w:t>2015</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180,528</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Pollux </w:t>
            </w:r>
            <w:r>
              <w:rPr>
                <w:rFonts w:ascii="Times New Roman" w:cs="Times New Roman" w:eastAsia="Times New Roman" w:hAnsi="Times New Roman"/>
                <w:sz w:val="25"/>
                <w:szCs w:val="25"/>
                <w:color w:val="auto"/>
                <w:vertAlign w:val="superscript"/>
              </w:rPr>
              <w:t>(1)(7)</w:t>
            </w:r>
          </w:p>
        </w:tc>
        <w:tc>
          <w:tcPr>
            <w:tcW w:w="5260" w:type="dxa"/>
            <w:vAlign w:val="bottom"/>
            <w:gridSpan w:val="4"/>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4"/>
              </w:rPr>
              <w:t>2009</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180,727</w:t>
            </w: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Gem</w:t>
            </w:r>
          </w:p>
        </w:tc>
        <w:tc>
          <w:tcPr>
            <w:tcW w:w="5260" w:type="dxa"/>
            <w:vAlign w:val="bottom"/>
            <w:gridSpan w:val="4"/>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2014</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181,206</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Navios Joy</w:t>
            </w:r>
          </w:p>
        </w:tc>
        <w:tc>
          <w:tcPr>
            <w:tcW w:w="5260" w:type="dxa"/>
            <w:vAlign w:val="bottom"/>
            <w:gridSpan w:val="4"/>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4"/>
              </w:rPr>
              <w:t>2013</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181,215</w:t>
            </w: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Felix </w:t>
            </w:r>
            <w:r>
              <w:rPr>
                <w:rFonts w:ascii="Times New Roman" w:cs="Times New Roman" w:eastAsia="Times New Roman" w:hAnsi="Times New Roman"/>
                <w:sz w:val="25"/>
                <w:szCs w:val="25"/>
                <w:color w:val="auto"/>
                <w:vertAlign w:val="superscript"/>
              </w:rPr>
              <w:t>(5)</w:t>
            </w:r>
          </w:p>
        </w:tc>
        <w:tc>
          <w:tcPr>
            <w:tcW w:w="5260" w:type="dxa"/>
            <w:vAlign w:val="bottom"/>
            <w:gridSpan w:val="4"/>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2016</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181,221</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Navios Corali</w:t>
            </w:r>
          </w:p>
        </w:tc>
        <w:tc>
          <w:tcPr>
            <w:tcW w:w="5260" w:type="dxa"/>
            <w:vAlign w:val="bottom"/>
            <w:gridSpan w:val="4"/>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4"/>
              </w:rPr>
              <w:t>2015</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181,249</w:t>
            </w: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Mars</w:t>
            </w:r>
          </w:p>
        </w:tc>
        <w:tc>
          <w:tcPr>
            <w:tcW w:w="5260" w:type="dxa"/>
            <w:vAlign w:val="bottom"/>
            <w:gridSpan w:val="4"/>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2016</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181,259</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Navios Koyo</w:t>
            </w:r>
          </w:p>
        </w:tc>
        <w:tc>
          <w:tcPr>
            <w:tcW w:w="5260" w:type="dxa"/>
            <w:vAlign w:val="bottom"/>
            <w:gridSpan w:val="4"/>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4"/>
              </w:rPr>
              <w:t>2011</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181,415</w:t>
            </w: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Azalea </w:t>
            </w:r>
            <w:r>
              <w:rPr>
                <w:rFonts w:ascii="Times New Roman" w:cs="Times New Roman" w:eastAsia="Times New Roman" w:hAnsi="Times New Roman"/>
                <w:sz w:val="25"/>
                <w:szCs w:val="25"/>
                <w:color w:val="auto"/>
                <w:vertAlign w:val="superscript"/>
              </w:rPr>
              <w:t>(2)</w:t>
            </w:r>
          </w:p>
        </w:tc>
        <w:tc>
          <w:tcPr>
            <w:tcW w:w="5260" w:type="dxa"/>
            <w:vAlign w:val="bottom"/>
            <w:gridSpan w:val="4"/>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2022</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182,064</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Armonia </w:t>
            </w:r>
            <w:r>
              <w:rPr>
                <w:rFonts w:ascii="Times New Roman" w:cs="Times New Roman" w:eastAsia="Times New Roman" w:hAnsi="Times New Roman"/>
                <w:sz w:val="25"/>
                <w:szCs w:val="25"/>
                <w:color w:val="auto"/>
                <w:vertAlign w:val="superscript"/>
              </w:rPr>
              <w:t>(2)</w:t>
            </w:r>
          </w:p>
        </w:tc>
        <w:tc>
          <w:tcPr>
            <w:tcW w:w="5260" w:type="dxa"/>
            <w:vAlign w:val="bottom"/>
            <w:gridSpan w:val="4"/>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4"/>
              </w:rPr>
              <w:t>2022</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182,079</w:t>
            </w: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Altair </w:t>
            </w:r>
            <w:r>
              <w:rPr>
                <w:rFonts w:ascii="Times New Roman" w:cs="Times New Roman" w:eastAsia="Times New Roman" w:hAnsi="Times New Roman"/>
                <w:sz w:val="25"/>
                <w:szCs w:val="25"/>
                <w:color w:val="auto"/>
                <w:vertAlign w:val="superscript"/>
              </w:rPr>
              <w:t>(2)</w:t>
            </w:r>
          </w:p>
        </w:tc>
        <w:tc>
          <w:tcPr>
            <w:tcW w:w="5260" w:type="dxa"/>
            <w:vAlign w:val="bottom"/>
            <w:gridSpan w:val="4"/>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2023</w:t>
            </w:r>
          </w:p>
        </w:tc>
        <w:tc>
          <w:tcPr>
            <w:tcW w:w="13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182,115</w:t>
            </w: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Sakura </w:t>
            </w:r>
            <w:r>
              <w:rPr>
                <w:rFonts w:ascii="Times New Roman" w:cs="Times New Roman" w:eastAsia="Times New Roman" w:hAnsi="Times New Roman"/>
                <w:sz w:val="25"/>
                <w:szCs w:val="25"/>
                <w:color w:val="auto"/>
                <w:vertAlign w:val="superscript"/>
              </w:rPr>
              <w:t>(2)</w:t>
            </w:r>
          </w:p>
        </w:tc>
        <w:tc>
          <w:tcPr>
            <w:tcW w:w="5260" w:type="dxa"/>
            <w:vAlign w:val="bottom"/>
            <w:gridSpan w:val="4"/>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4"/>
              </w:rPr>
              <w:t>2023</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182,169</w:t>
            </w: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184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Navios Amethyst </w:t>
            </w:r>
            <w:r>
              <w:rPr>
                <w:rFonts w:ascii="Times New Roman" w:cs="Times New Roman" w:eastAsia="Times New Roman" w:hAnsi="Times New Roman"/>
                <w:sz w:val="25"/>
                <w:szCs w:val="25"/>
                <w:color w:val="auto"/>
                <w:vertAlign w:val="superscript"/>
              </w:rPr>
              <w:t>(2)</w:t>
            </w:r>
          </w:p>
        </w:tc>
        <w:tc>
          <w:tcPr>
            <w:tcW w:w="5260" w:type="dxa"/>
            <w:vAlign w:val="bottom"/>
            <w:gridSpan w:val="4"/>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4"/>
              </w:rPr>
              <w:t>2023</w:t>
            </w:r>
          </w:p>
        </w:tc>
        <w:tc>
          <w:tcPr>
            <w:tcW w:w="12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182,212</w:t>
            </w:r>
          </w:p>
        </w:tc>
        <w:tc>
          <w:tcPr>
            <w:tcW w:w="80" w:type="dxa"/>
            <w:vAlign w:val="bottom"/>
            <w:shd w:val="clear" w:color="auto" w:fill="CCEEFF"/>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040" w:type="dxa"/>
            <w:vAlign w:val="bottom"/>
            <w:tcBorders>
              <w:left w:val="single" w:sz="8" w:color="auto"/>
            </w:tcBorders>
          </w:tcPr>
          <w:p>
            <w:pPr>
              <w:spacing w:after="0"/>
              <w:rPr>
                <w:sz w:val="24"/>
                <w:szCs w:val="24"/>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Navios Astra </w:t>
            </w:r>
            <w:r>
              <w:rPr>
                <w:rFonts w:ascii="Times New Roman" w:cs="Times New Roman" w:eastAsia="Times New Roman" w:hAnsi="Times New Roman"/>
                <w:sz w:val="26"/>
                <w:szCs w:val="26"/>
                <w:color w:val="auto"/>
                <w:vertAlign w:val="superscript"/>
              </w:rPr>
              <w:t>(4)</w:t>
            </w:r>
          </w:p>
        </w:tc>
        <w:tc>
          <w:tcPr>
            <w:tcW w:w="5260" w:type="dxa"/>
            <w:vAlign w:val="bottom"/>
            <w:gridSpan w:val="4"/>
          </w:tcPr>
          <w:p>
            <w:pPr>
              <w:ind w:left="4040"/>
              <w:spacing w:after="0"/>
              <w:rPr>
                <w:sz w:val="20"/>
                <w:szCs w:val="20"/>
                <w:color w:val="auto"/>
              </w:rPr>
            </w:pPr>
            <w:r>
              <w:rPr>
                <w:rFonts w:ascii="Times New Roman" w:cs="Times New Roman" w:eastAsia="Times New Roman" w:hAnsi="Times New Roman"/>
                <w:sz w:val="18"/>
                <w:szCs w:val="18"/>
                <w:color w:val="auto"/>
              </w:rPr>
              <w:t>Capesize</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4"/>
              </w:rPr>
              <w:t>2022</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182,393</w:t>
            </w:r>
          </w:p>
        </w:tc>
        <w:tc>
          <w:tcPr>
            <w:tcW w:w="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040" w:type="dxa"/>
            <w:vAlign w:val="bottom"/>
            <w:tcBorders>
              <w:left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Owned Containerships</w:t>
            </w:r>
          </w:p>
        </w:tc>
        <w:tc>
          <w:tcPr>
            <w:tcW w:w="4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Built</w:t>
            </w:r>
          </w:p>
        </w:tc>
        <w:tc>
          <w:tcPr>
            <w:tcW w:w="260" w:type="dxa"/>
            <w:vAlign w:val="bottom"/>
          </w:tcPr>
          <w:p>
            <w:pPr>
              <w:spacing w:after="0"/>
              <w:rPr>
                <w:sz w:val="19"/>
                <w:szCs w:val="19"/>
                <w:color w:val="auto"/>
              </w:rPr>
            </w:pPr>
          </w:p>
        </w:tc>
        <w:tc>
          <w:tcPr>
            <w:tcW w:w="2140" w:type="dxa"/>
            <w:vAlign w:val="bottom"/>
            <w:tcBorders>
              <w:right w:val="single" w:sz="8" w:color="auto"/>
            </w:tcBorders>
            <w:gridSpan w:val="5"/>
          </w:tcPr>
          <w:p>
            <w:pPr>
              <w:jc w:val="center"/>
              <w:ind w:right="15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1040" w:type="dxa"/>
            <w:vAlign w:val="bottom"/>
            <w:tcBorders>
              <w:lef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4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2140" w:type="dxa"/>
            <w:vAlign w:val="bottom"/>
            <w:tcBorders>
              <w:right w:val="single" w:sz="8" w:color="auto"/>
            </w:tcBorders>
            <w:gridSpan w:val="5"/>
          </w:tcPr>
          <w:p>
            <w:pPr>
              <w:jc w:val="center"/>
              <w:ind w:right="1540"/>
              <w:spacing w:after="0" w:line="160" w:lineRule="exact"/>
              <w:rPr>
                <w:sz w:val="20"/>
                <w:szCs w:val="20"/>
                <w:color w:val="auto"/>
              </w:rPr>
            </w:pPr>
            <w:r>
              <w:rPr>
                <w:rFonts w:ascii="Times New Roman" w:cs="Times New Roman" w:eastAsia="Times New Roman" w:hAnsi="Times New Roman"/>
                <w:sz w:val="14"/>
                <w:szCs w:val="14"/>
                <w:b w:val="1"/>
                <w:bCs w:val="1"/>
                <w:color w:val="auto"/>
              </w:rPr>
              <w:t>(TEU)</w:t>
            </w:r>
          </w:p>
        </w:tc>
        <w:tc>
          <w:tcPr>
            <w:tcW w:w="0" w:type="dxa"/>
            <w:vAlign w:val="bottom"/>
          </w:tcPr>
          <w:p>
            <w:pPr>
              <w:spacing w:after="0"/>
              <w:rPr>
                <w:sz w:val="1"/>
                <w:szCs w:val="1"/>
                <w:color w:val="auto"/>
              </w:rPr>
            </w:pPr>
          </w:p>
        </w:tc>
      </w:tr>
      <w:tr>
        <w:trPr>
          <w:trHeight w:val="203"/>
        </w:trPr>
        <w:tc>
          <w:tcPr>
            <w:tcW w:w="1040" w:type="dxa"/>
            <w:vAlign w:val="bottom"/>
            <w:tcBorders>
              <w:left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Spectrum N</w:t>
            </w:r>
          </w:p>
        </w:tc>
        <w:tc>
          <w:tcPr>
            <w:tcW w:w="40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w w:val="94"/>
              </w:rPr>
              <w:t>2009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2,546</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Fleur N</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2012</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Ete N</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2012</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Summer</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2006</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Verano</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2006</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Matson Lanai</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Verde</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2007</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Amarillo</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Vermilion</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2007</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Azure</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2007</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Indigo</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2007</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Domino</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Matson Oahu</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2008</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Destiny</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Devotion</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Lapis</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2009</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Dorado</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2010</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Carmel I</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Zim Baltimore</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2010</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Bahamas</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2010</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Miami</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2009</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Jasmine</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Chrysalis</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2008</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Nerine</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2008</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Sparrow</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Zim Eagle</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Condor</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Hawk I</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Zim Falcon</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Pelican I</w:t>
            </w:r>
          </w:p>
        </w:tc>
        <w:tc>
          <w:tcPr>
            <w:tcW w:w="4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Seagull </w:t>
            </w:r>
            <w:r>
              <w:rPr>
                <w:rFonts w:ascii="Times New Roman" w:cs="Times New Roman" w:eastAsia="Times New Roman" w:hAnsi="Times New Roman"/>
                <w:sz w:val="25"/>
                <w:szCs w:val="25"/>
                <w:color w:val="auto"/>
                <w:vertAlign w:val="superscript"/>
              </w:rPr>
              <w:t>(5)</w:t>
            </w:r>
          </w:p>
        </w:tc>
        <w:tc>
          <w:tcPr>
            <w:tcW w:w="4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040" w:type="dxa"/>
            <w:vAlign w:val="bottom"/>
            <w:tcBorders>
              <w:left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Zim Albatross </w:t>
            </w:r>
            <w:r>
              <w:rPr>
                <w:rFonts w:ascii="Times New Roman" w:cs="Times New Roman" w:eastAsia="Times New Roman" w:hAnsi="Times New Roman"/>
                <w:sz w:val="26"/>
                <w:szCs w:val="26"/>
                <w:color w:val="auto"/>
                <w:vertAlign w:val="superscript"/>
              </w:rPr>
              <w:t>(5)</w:t>
            </w:r>
          </w:p>
        </w:tc>
        <w:tc>
          <w:tcPr>
            <w:tcW w:w="4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40" w:type="dxa"/>
            <w:vAlign w:val="bottom"/>
            <w:tcBorders>
              <w:left w:val="single" w:sz="8" w:color="auto"/>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1"/>
        </w:trPr>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093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70935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Owned Containerships</w:t>
            </w:r>
          </w:p>
        </w:tc>
        <w:tc>
          <w:tcPr>
            <w:tcW w:w="5180" w:type="dxa"/>
            <w:vAlign w:val="bottom"/>
            <w:vMerge w:val="restart"/>
          </w:tcPr>
          <w:p>
            <w:pPr>
              <w:spacing w:after="0"/>
              <w:rPr>
                <w:sz w:val="13"/>
                <w:szCs w:val="13"/>
                <w:color w:val="auto"/>
              </w:rPr>
            </w:pP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142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6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(TEU)</w:t>
            </w: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DP World Jeddah </w:t>
            </w:r>
            <w:r>
              <w:rPr>
                <w:rFonts w:ascii="Times New Roman" w:cs="Times New Roman" w:eastAsia="Times New Roman" w:hAnsi="Times New Roman"/>
                <w:sz w:val="23"/>
                <w:szCs w:val="23"/>
                <w:color w:val="auto"/>
                <w:vertAlign w:val="superscript"/>
              </w:rPr>
              <w:t>(1)</w:t>
            </w:r>
          </w:p>
        </w:tc>
        <w:tc>
          <w:tcPr>
            <w:tcW w:w="46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4"/>
              </w:rPr>
              <w:t>2024</w:t>
            </w: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DP World Jebel Ali </w:t>
            </w:r>
            <w:r>
              <w:rPr>
                <w:rFonts w:ascii="Times New Roman" w:cs="Times New Roman" w:eastAsia="Times New Roman" w:hAnsi="Times New Roman"/>
                <w:sz w:val="25"/>
                <w:szCs w:val="25"/>
                <w:color w:val="auto"/>
                <w:vertAlign w:val="superscript"/>
              </w:rPr>
              <w:t>(1)</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Hyundai Shanghai</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2006</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Hyundai Tokyo</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2006</w:t>
            </w:r>
          </w:p>
        </w:tc>
        <w:tc>
          <w:tcPr>
            <w:tcW w:w="3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Hyundai Hongkong</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2006</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Hyundai Singapore</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2006</w:t>
            </w:r>
          </w:p>
        </w:tc>
        <w:tc>
          <w:tcPr>
            <w:tcW w:w="3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Hyundai Busan</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2006</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HMM Ocean</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2025</w:t>
            </w:r>
          </w:p>
        </w:tc>
        <w:tc>
          <w:tcPr>
            <w:tcW w:w="3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HMM Sky</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2025</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7,700</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Cyan</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2026</w:t>
            </w:r>
          </w:p>
        </w:tc>
        <w:tc>
          <w:tcPr>
            <w:tcW w:w="3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Unison</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2010</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4"/>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Navios Constellation</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2011</w:t>
            </w:r>
          </w:p>
        </w:tc>
        <w:tc>
          <w:tcPr>
            <w:tcW w:w="3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w w:val="99"/>
              </w:rPr>
              <w:t>Owned Tanker Vessels</w:t>
            </w:r>
          </w:p>
        </w:tc>
        <w:tc>
          <w:tcPr>
            <w:tcW w:w="3700" w:type="dxa"/>
            <w:vAlign w:val="bottom"/>
          </w:tcPr>
          <w:p>
            <w:pPr>
              <w:spacing w:after="0"/>
              <w:rPr>
                <w:sz w:val="13"/>
                <w:szCs w:val="13"/>
                <w:color w:val="auto"/>
              </w:rPr>
            </w:pPr>
          </w:p>
        </w:tc>
        <w:tc>
          <w:tcPr>
            <w:tcW w:w="2140" w:type="dxa"/>
            <w:vAlign w:val="bottom"/>
            <w:gridSpan w:val="2"/>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Type</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1940" w:type="dxa"/>
            <w:vAlign w:val="bottom"/>
            <w:gridSpan w:val="3"/>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2420" w:type="dxa"/>
            <w:vAlign w:val="bottom"/>
            <w:gridSpan w:val="2"/>
            <w:vMerge w:val="continue"/>
          </w:tcPr>
          <w:p>
            <w:pPr>
              <w:spacing w:after="0"/>
              <w:rPr>
                <w:sz w:val="15"/>
                <w:szCs w:val="15"/>
                <w:color w:val="auto"/>
              </w:rPr>
            </w:pPr>
          </w:p>
        </w:tc>
        <w:tc>
          <w:tcPr>
            <w:tcW w:w="3700" w:type="dxa"/>
            <w:vAlign w:val="bottom"/>
          </w:tcPr>
          <w:p>
            <w:pPr>
              <w:spacing w:after="0"/>
              <w:rPr>
                <w:sz w:val="15"/>
                <w:szCs w:val="15"/>
                <w:color w:val="auto"/>
              </w:rPr>
            </w:pPr>
          </w:p>
        </w:tc>
        <w:tc>
          <w:tcPr>
            <w:tcW w:w="2140" w:type="dxa"/>
            <w:vAlign w:val="bottom"/>
            <w:gridSpan w:val="2"/>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940" w:type="dxa"/>
            <w:vAlign w:val="bottom"/>
            <w:gridSpan w:val="3"/>
          </w:tcPr>
          <w:p>
            <w:pPr>
              <w:jc w:val="center"/>
              <w:ind w:right="1140"/>
              <w:spacing w:after="0" w:line="160" w:lineRule="exact"/>
              <w:rPr>
                <w:sz w:val="20"/>
                <w:szCs w:val="20"/>
                <w:color w:val="auto"/>
              </w:rPr>
            </w:pPr>
            <w:r>
              <w:rPr>
                <w:rFonts w:ascii="Times New Roman" w:cs="Times New Roman" w:eastAsia="Times New Roman" w:hAnsi="Times New Roman"/>
                <w:sz w:val="14"/>
                <w:szCs w:val="14"/>
                <w:b w:val="1"/>
                <w:bCs w:val="1"/>
                <w:color w:val="auto"/>
              </w:rPr>
              <w:t>(DWT)</w:t>
            </w: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13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Hector N</w:t>
            </w:r>
          </w:p>
        </w:tc>
        <w:tc>
          <w:tcPr>
            <w:tcW w:w="370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MR1 Product Tanker</w:t>
            </w:r>
          </w:p>
        </w:tc>
        <w:tc>
          <w:tcPr>
            <w:tcW w:w="2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2008</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38,402</w:t>
            </w: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Aquila</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Atria</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Nave Ohana </w:t>
            </w:r>
            <w:r>
              <w:rPr>
                <w:rFonts w:ascii="Times New Roman" w:cs="Times New Roman" w:eastAsia="Times New Roman" w:hAnsi="Times New Roman"/>
                <w:sz w:val="25"/>
                <w:szCs w:val="25"/>
                <w:color w:val="auto"/>
                <w:vertAlign w:val="superscript"/>
              </w:rPr>
              <w:t>(2)</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49,994</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Nave Capella</w:t>
            </w:r>
            <w:r>
              <w:rPr>
                <w:rFonts w:ascii="Times New Roman" w:cs="Times New Roman" w:eastAsia="Times New Roman" w:hAnsi="Times New Roman"/>
                <w:sz w:val="25"/>
                <w:szCs w:val="25"/>
                <w:color w:val="auto"/>
                <w:vertAlign w:val="superscript"/>
              </w:rPr>
              <w:t>(1)</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49,995</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Nave Hina </w:t>
            </w:r>
            <w:r>
              <w:rPr>
                <w:rFonts w:ascii="Times New Roman" w:cs="Times New Roman" w:eastAsia="Times New Roman" w:hAnsi="Times New Roman"/>
                <w:sz w:val="25"/>
                <w:szCs w:val="25"/>
                <w:color w:val="auto"/>
                <w:vertAlign w:val="superscript"/>
              </w:rPr>
              <w:t>(2)</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Nave Alderamin</w:t>
            </w:r>
            <w:r>
              <w:rPr>
                <w:rFonts w:ascii="Times New Roman" w:cs="Times New Roman" w:eastAsia="Times New Roman" w:hAnsi="Times New Roman"/>
                <w:sz w:val="25"/>
                <w:szCs w:val="25"/>
                <w:color w:val="auto"/>
                <w:vertAlign w:val="superscript"/>
              </w:rPr>
              <w:t>(1)</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49,998</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Pyxis</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Bellatrix</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Nave Orion </w:t>
            </w:r>
            <w:r>
              <w:rPr>
                <w:rFonts w:ascii="Times New Roman" w:cs="Times New Roman" w:eastAsia="Times New Roman" w:hAnsi="Times New Roman"/>
                <w:sz w:val="25"/>
                <w:szCs w:val="25"/>
                <w:color w:val="auto"/>
                <w:vertAlign w:val="superscript"/>
              </w:rPr>
              <w:t>(1)</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Titan</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Jupiter</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Velocity</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Sextans</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Luminosity</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50,240</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Bougainville</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MR2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Cetus</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LR1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74,581</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Ariadne</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LR1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Rigel</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LR1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74,673</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Atropos</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LR1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74,695</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Cassiopeia</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LR1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74,711</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Cielo</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LR1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74,896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Andromeda</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LR1 Product Tanker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Estella</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LR1 Product Tanker</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Cosmos</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Aframax / LR2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115,651</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Polaris</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Aframax / LR2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Photon</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Aframax / LR2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115,752</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Dorado</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Aframax / LR2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Neutrino</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Aframax / LR2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115,807</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Perseus</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Aframax / LR2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115,812</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Nave Amaryllis</w:t>
            </w:r>
            <w:r>
              <w:rPr>
                <w:rFonts w:ascii="Times New Roman" w:cs="Times New Roman" w:eastAsia="Times New Roman" w:hAnsi="Times New Roman"/>
                <w:sz w:val="25"/>
                <w:szCs w:val="25"/>
                <w:color w:val="auto"/>
                <w:vertAlign w:val="superscript"/>
              </w:rPr>
              <w:t>(5)</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Aframax / LR2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116,934</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Nave Anthos</w:t>
            </w:r>
            <w:r>
              <w:rPr>
                <w:rFonts w:ascii="Times New Roman" w:cs="Times New Roman" w:eastAsia="Times New Roman" w:hAnsi="Times New Roman"/>
                <w:sz w:val="25"/>
                <w:szCs w:val="25"/>
                <w:color w:val="auto"/>
                <w:vertAlign w:val="superscript"/>
              </w:rPr>
              <w:t>(1)</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Aframax / LR2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3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Nave Equator</w:t>
            </w:r>
            <w:r>
              <w:rPr>
                <w:rFonts w:ascii="Times New Roman" w:cs="Times New Roman" w:eastAsia="Times New Roman" w:hAnsi="Times New Roman"/>
                <w:sz w:val="25"/>
                <w:szCs w:val="25"/>
                <w:color w:val="auto"/>
                <w:vertAlign w:val="superscript"/>
              </w:rPr>
              <w:t>(1)</w:t>
            </w:r>
          </w:p>
        </w:tc>
        <w:tc>
          <w:tcPr>
            <w:tcW w:w="5840" w:type="dxa"/>
            <w:vAlign w:val="bottom"/>
            <w:gridSpan w:val="3"/>
            <w:shd w:val="clear" w:color="auto" w:fill="CCEEFF"/>
          </w:tcPr>
          <w:p>
            <w:pPr>
              <w:ind w:left="3700"/>
              <w:spacing w:after="0"/>
              <w:rPr>
                <w:sz w:val="20"/>
                <w:szCs w:val="20"/>
                <w:color w:val="auto"/>
              </w:rPr>
            </w:pPr>
            <w:r>
              <w:rPr>
                <w:rFonts w:ascii="Times New Roman" w:cs="Times New Roman" w:eastAsia="Times New Roman" w:hAnsi="Times New Roman"/>
                <w:sz w:val="18"/>
                <w:szCs w:val="18"/>
                <w:color w:val="auto"/>
              </w:rPr>
              <w:t>Aframax / LR2</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117,059</w:t>
            </w:r>
          </w:p>
        </w:tc>
        <w:tc>
          <w:tcPr>
            <w:tcW w:w="8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104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Nave Galactic</w:t>
            </w:r>
            <w:r>
              <w:rPr>
                <w:rFonts w:ascii="Times New Roman" w:cs="Times New Roman" w:eastAsia="Times New Roman" w:hAnsi="Times New Roman"/>
                <w:sz w:val="26"/>
                <w:szCs w:val="26"/>
                <w:color w:val="auto"/>
                <w:vertAlign w:val="superscript"/>
              </w:rPr>
              <w:t>(3)</w:t>
            </w:r>
          </w:p>
        </w:tc>
        <w:tc>
          <w:tcPr>
            <w:tcW w:w="5840" w:type="dxa"/>
            <w:vAlign w:val="bottom"/>
            <w:gridSpan w:val="3"/>
          </w:tcPr>
          <w:p>
            <w:pPr>
              <w:ind w:left="3700"/>
              <w:spacing w:after="0"/>
              <w:rPr>
                <w:sz w:val="20"/>
                <w:szCs w:val="20"/>
                <w:color w:val="auto"/>
              </w:rPr>
            </w:pPr>
            <w:r>
              <w:rPr>
                <w:rFonts w:ascii="Times New Roman" w:cs="Times New Roman" w:eastAsia="Times New Roman" w:hAnsi="Times New Roman"/>
                <w:sz w:val="18"/>
                <w:szCs w:val="18"/>
                <w:color w:val="auto"/>
              </w:rPr>
              <w:t>VLCC</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296,945</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1"/>
        </w:trPr>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7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5</w:t>
            </w:r>
          </w:p>
        </w:tc>
        <w:tc>
          <w:tcPr>
            <w:tcW w:w="1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7067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70675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Owned Tanker Vessels</w:t>
            </w:r>
          </w:p>
        </w:tc>
        <w:tc>
          <w:tcPr>
            <w:tcW w:w="600" w:type="dxa"/>
            <w:vAlign w:val="bottom"/>
            <w:vMerge w:val="restart"/>
          </w:tcPr>
          <w:p>
            <w:pPr>
              <w:spacing w:after="0"/>
              <w:rPr>
                <w:sz w:val="13"/>
                <w:szCs w:val="13"/>
                <w:color w:val="auto"/>
              </w:rPr>
            </w:pPr>
          </w:p>
        </w:tc>
        <w:tc>
          <w:tcPr>
            <w:tcW w:w="3640" w:type="dxa"/>
            <w:vAlign w:val="bottom"/>
          </w:tcPr>
          <w:p>
            <w:pPr>
              <w:spacing w:after="0"/>
              <w:rPr>
                <w:sz w:val="13"/>
                <w:szCs w:val="13"/>
                <w:color w:val="auto"/>
              </w:rPr>
            </w:pPr>
          </w:p>
        </w:tc>
        <w:tc>
          <w:tcPr>
            <w:tcW w:w="12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80" w:type="dxa"/>
            <w:vAlign w:val="bottom"/>
          </w:tcPr>
          <w:p>
            <w:pPr>
              <w:spacing w:after="0"/>
              <w:rPr>
                <w:sz w:val="13"/>
                <w:szCs w:val="13"/>
                <w:color w:val="auto"/>
              </w:rPr>
            </w:pPr>
          </w:p>
        </w:tc>
        <w:tc>
          <w:tcPr>
            <w:tcW w:w="4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1380" w:type="dxa"/>
            <w:vAlign w:val="bottom"/>
            <w:tcBorders>
              <w:bottom w:val="single" w:sz="8" w:color="auto"/>
            </w:tcBorders>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64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(DWT)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Nave Universe</w:t>
            </w:r>
          </w:p>
        </w:tc>
        <w:tc>
          <w:tcPr>
            <w:tcW w:w="36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VLCC</w:t>
            </w:r>
          </w:p>
        </w:tc>
        <w:tc>
          <w:tcPr>
            <w:tcW w:w="7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2011</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5"/>
              </w:rPr>
              <w:t>297,066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Nave Quasar</w:t>
            </w:r>
          </w:p>
        </w:tc>
        <w:tc>
          <w:tcPr>
            <w:tcW w:w="4880" w:type="dxa"/>
            <w:vAlign w:val="bottom"/>
            <w:gridSpan w:val="5"/>
          </w:tcPr>
          <w:p>
            <w:pPr>
              <w:jc w:val="right"/>
              <w:ind w:right="688"/>
              <w:spacing w:after="0"/>
              <w:rPr>
                <w:sz w:val="20"/>
                <w:szCs w:val="20"/>
                <w:color w:val="auto"/>
              </w:rPr>
            </w:pPr>
            <w:r>
              <w:rPr>
                <w:rFonts w:ascii="Times New Roman" w:cs="Times New Roman" w:eastAsia="Times New Roman" w:hAnsi="Times New Roman"/>
                <w:sz w:val="18"/>
                <w:szCs w:val="18"/>
                <w:color w:val="auto"/>
              </w:rPr>
              <w:t>VLCC</w:t>
            </w:r>
          </w:p>
        </w:tc>
        <w:tc>
          <w:tcPr>
            <w:tcW w:w="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5"/>
              </w:rPr>
              <w:t>297,376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Synergy</w:t>
            </w:r>
          </w:p>
        </w:tc>
        <w:tc>
          <w:tcPr>
            <w:tcW w:w="4880" w:type="dxa"/>
            <w:vAlign w:val="bottom"/>
            <w:gridSpan w:val="5"/>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VLCC</w:t>
            </w: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5"/>
              </w:rPr>
              <w:t>309,483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1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Bareboat-in Vessels </w:t>
            </w:r>
            <w:r>
              <w:rPr>
                <w:rFonts w:ascii="Times New Roman" w:cs="Times New Roman" w:eastAsia="Times New Roman" w:hAnsi="Times New Roman"/>
                <w:sz w:val="10"/>
                <w:szCs w:val="10"/>
                <w:b w:val="1"/>
                <w:bCs w:val="1"/>
                <w:color w:val="auto"/>
              </w:rPr>
              <w:t>(6)</w:t>
            </w:r>
          </w:p>
        </w:tc>
        <w:tc>
          <w:tcPr>
            <w:tcW w:w="620" w:type="dxa"/>
            <w:vAlign w:val="bottom"/>
            <w:gridSpan w:val="2"/>
            <w:vMerge w:val="restart"/>
          </w:tcPr>
          <w:p>
            <w:pPr>
              <w:spacing w:after="0"/>
              <w:rPr>
                <w:sz w:val="24"/>
                <w:szCs w:val="24"/>
                <w:color w:val="auto"/>
              </w:rPr>
            </w:pPr>
          </w:p>
        </w:tc>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Type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Built</w:t>
            </w:r>
          </w:p>
        </w:tc>
        <w:tc>
          <w:tcPr>
            <w:tcW w:w="20" w:type="dxa"/>
            <w:vAlign w:val="bottom"/>
          </w:tcPr>
          <w:p>
            <w:pPr>
              <w:spacing w:after="0"/>
              <w:rPr>
                <w:sz w:val="24"/>
                <w:szCs w:val="24"/>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1360" w:type="dxa"/>
            <w:vAlign w:val="bottom"/>
            <w:tcBorders>
              <w:bottom w:val="single" w:sz="8" w:color="auto"/>
            </w:tcBorders>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3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right"/>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(DWT)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Navios Star</w:t>
            </w:r>
          </w:p>
        </w:tc>
        <w:tc>
          <w:tcPr>
            <w:tcW w:w="3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Kamsarmax</w:t>
            </w: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ind w:right="39"/>
              <w:spacing w:after="0" w:line="203" w:lineRule="exact"/>
              <w:rPr>
                <w:sz w:val="20"/>
                <w:szCs w:val="20"/>
                <w:color w:val="auto"/>
              </w:rPr>
            </w:pPr>
            <w:r>
              <w:rPr>
                <w:rFonts w:ascii="Times New Roman" w:cs="Times New Roman" w:eastAsia="Times New Roman" w:hAnsi="Times New Roman"/>
                <w:sz w:val="18"/>
                <w:szCs w:val="18"/>
                <w:color w:val="auto"/>
                <w:w w:val="94"/>
              </w:rPr>
              <w:t>2021</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81,994</w:t>
            </w:r>
          </w:p>
        </w:tc>
        <w:tc>
          <w:tcPr>
            <w:tcW w:w="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Navios Amitie</w:t>
            </w:r>
          </w:p>
        </w:tc>
        <w:tc>
          <w:tcPr>
            <w:tcW w:w="3640" w:type="dxa"/>
            <w:vAlign w:val="bottom"/>
          </w:tcPr>
          <w:p>
            <w:pPr>
              <w:spacing w:after="0"/>
              <w:rPr>
                <w:sz w:val="18"/>
                <w:szCs w:val="18"/>
                <w:color w:val="auto"/>
              </w:rPr>
            </w:pPr>
          </w:p>
        </w:tc>
        <w:tc>
          <w:tcPr>
            <w:tcW w:w="1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Kamsarmax</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w w:val="99"/>
              </w:rPr>
              <w:t>2021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82,002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Navios Libra</w:t>
            </w:r>
          </w:p>
        </w:tc>
        <w:tc>
          <w:tcPr>
            <w:tcW w:w="36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Kamsarmax</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9"/>
              </w:rPr>
              <w:t>2019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82,011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Nave Electron</w:t>
            </w:r>
          </w:p>
        </w:tc>
        <w:tc>
          <w:tcPr>
            <w:tcW w:w="3640" w:type="dxa"/>
            <w:vAlign w:val="bottom"/>
          </w:tcPr>
          <w:p>
            <w:pPr>
              <w:spacing w:after="0"/>
              <w:rPr>
                <w:sz w:val="18"/>
                <w:szCs w:val="18"/>
                <w:color w:val="auto"/>
              </w:rPr>
            </w:pPr>
          </w:p>
        </w:tc>
        <w:tc>
          <w:tcPr>
            <w:tcW w:w="1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VLCC</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w w:val="99"/>
              </w:rPr>
              <w:t>2021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313,239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Celeste</w:t>
            </w:r>
          </w:p>
        </w:tc>
        <w:tc>
          <w:tcPr>
            <w:tcW w:w="36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VLCC</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9"/>
              </w:rPr>
              <w:t>2022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313,418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Nave Allegro</w:t>
            </w:r>
          </w:p>
        </w:tc>
        <w:tc>
          <w:tcPr>
            <w:tcW w:w="3640" w:type="dxa"/>
            <w:vAlign w:val="bottom"/>
          </w:tcPr>
          <w:p>
            <w:pPr>
              <w:spacing w:after="0"/>
              <w:rPr>
                <w:sz w:val="18"/>
                <w:szCs w:val="18"/>
                <w:color w:val="auto"/>
              </w:rPr>
            </w:pPr>
          </w:p>
        </w:tc>
        <w:tc>
          <w:tcPr>
            <w:tcW w:w="12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VLCC</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w w:val="99"/>
              </w:rPr>
              <w:t>2020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313,433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Nave Tempo</w:t>
            </w:r>
          </w:p>
        </w:tc>
        <w:tc>
          <w:tcPr>
            <w:tcW w:w="364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VLCC</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99"/>
              </w:rPr>
              <w:t>2021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313,486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7"/>
        </w:trPr>
        <w:tc>
          <w:tcPr>
            <w:tcW w:w="19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Dry bulk Vessels to be Delivered</w:t>
            </w:r>
          </w:p>
        </w:tc>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Type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7"/>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1980" w:type="dxa"/>
            <w:vAlign w:val="bottom"/>
            <w:tcBorders>
              <w:bottom w:val="single" w:sz="8" w:color="auto"/>
            </w:tcBorders>
            <w:gridSpan w:val="3"/>
            <w:vMerge w:val="continue"/>
          </w:tcPr>
          <w:p>
            <w:pPr>
              <w:spacing w:after="0"/>
              <w:rPr>
                <w:sz w:val="15"/>
                <w:szCs w:val="15"/>
                <w:color w:val="auto"/>
              </w:rPr>
            </w:pPr>
          </w:p>
        </w:tc>
        <w:tc>
          <w:tcPr>
            <w:tcW w:w="3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7"/>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Delivery</w:t>
            </w:r>
          </w:p>
        </w:tc>
        <w:tc>
          <w:tcPr>
            <w:tcW w:w="20" w:type="dxa"/>
            <w:vAlign w:val="bottom"/>
          </w:tcPr>
          <w:p>
            <w:pPr>
              <w:spacing w:after="0"/>
              <w:rPr>
                <w:sz w:val="15"/>
                <w:szCs w:val="15"/>
                <w:color w:val="auto"/>
              </w:rPr>
            </w:pPr>
          </w:p>
        </w:tc>
        <w:tc>
          <w:tcPr>
            <w:tcW w:w="82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(DWT)</w:t>
            </w:r>
          </w:p>
        </w:tc>
        <w:tc>
          <w:tcPr>
            <w:tcW w:w="0" w:type="dxa"/>
            <w:vAlign w:val="bottom"/>
          </w:tcPr>
          <w:p>
            <w:pPr>
              <w:spacing w:after="0"/>
              <w:rPr>
                <w:sz w:val="1"/>
                <w:szCs w:val="1"/>
                <w:color w:val="auto"/>
              </w:rPr>
            </w:pPr>
          </w:p>
        </w:tc>
      </w:tr>
      <w:tr>
        <w:trPr>
          <w:trHeight w:val="203"/>
        </w:trPr>
        <w:tc>
          <w:tcPr>
            <w:tcW w:w="198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TBN XXI</w:t>
            </w:r>
            <w:r>
              <w:rPr>
                <w:rFonts w:ascii="Times New Roman" w:cs="Times New Roman" w:eastAsia="Times New Roman" w:hAnsi="Times New Roman"/>
                <w:sz w:val="23"/>
                <w:szCs w:val="23"/>
                <w:color w:val="auto"/>
                <w:vertAlign w:val="superscript"/>
              </w:rPr>
              <w:t>(2)</w:t>
            </w:r>
          </w:p>
        </w:tc>
        <w:tc>
          <w:tcPr>
            <w:tcW w:w="36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Capesize</w:t>
            </w: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90"/>
              </w:rPr>
              <w:t>H2</w:t>
            </w:r>
          </w:p>
        </w:tc>
        <w:tc>
          <w:tcPr>
            <w:tcW w:w="500" w:type="dxa"/>
            <w:vAlign w:val="bottom"/>
            <w:tcBorders>
              <w:top w:val="single" w:sz="8" w:color="auto"/>
            </w:tcBorders>
            <w:gridSpan w:val="2"/>
            <w:shd w:val="clear" w:color="auto" w:fill="CCEEFF"/>
          </w:tcPr>
          <w:p>
            <w:pPr>
              <w:jc w:val="right"/>
              <w:ind w:right="39"/>
              <w:spacing w:after="0" w:line="203" w:lineRule="exact"/>
              <w:rPr>
                <w:sz w:val="20"/>
                <w:szCs w:val="20"/>
                <w:color w:val="auto"/>
              </w:rPr>
            </w:pPr>
            <w:r>
              <w:rPr>
                <w:rFonts w:ascii="Times New Roman" w:cs="Times New Roman" w:eastAsia="Times New Roman" w:hAnsi="Times New Roman"/>
                <w:sz w:val="18"/>
                <w:szCs w:val="18"/>
                <w:color w:val="auto"/>
                <w:w w:val="99"/>
              </w:rPr>
              <w:t>2028</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w w:val="95"/>
              </w:rPr>
              <w:t>181,500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5"/>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TBN XXII</w:t>
            </w:r>
            <w:r>
              <w:rPr>
                <w:rFonts w:ascii="Times New Roman" w:cs="Times New Roman" w:eastAsia="Times New Roman" w:hAnsi="Times New Roman"/>
                <w:sz w:val="26"/>
                <w:szCs w:val="26"/>
                <w:color w:val="auto"/>
                <w:vertAlign w:val="superscript"/>
              </w:rPr>
              <w:t>(2)</w:t>
            </w:r>
          </w:p>
        </w:tc>
        <w:tc>
          <w:tcPr>
            <w:tcW w:w="3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Capesize</w:t>
            </w:r>
          </w:p>
        </w:tc>
        <w:tc>
          <w:tcPr>
            <w:tcW w:w="80" w:type="dxa"/>
            <w:vAlign w:val="bottom"/>
          </w:tcPr>
          <w:p>
            <w:pPr>
              <w:spacing w:after="0"/>
              <w:rPr>
                <w:sz w:val="24"/>
                <w:szCs w:val="24"/>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Q1</w:t>
            </w:r>
          </w:p>
        </w:tc>
        <w:tc>
          <w:tcPr>
            <w:tcW w:w="5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w w:val="99"/>
              </w:rPr>
              <w:t>2029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5"/>
              </w:rPr>
              <w:t>181,500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Containerships to be Delivered</w:t>
            </w:r>
          </w:p>
        </w:tc>
        <w:tc>
          <w:tcPr>
            <w:tcW w:w="446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6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1900" w:type="dxa"/>
            <w:vAlign w:val="bottom"/>
            <w:tcBorders>
              <w:bottom w:val="single" w:sz="8" w:color="auto"/>
            </w:tcBorders>
            <w:vMerge w:val="continue"/>
          </w:tcPr>
          <w:p>
            <w:pPr>
              <w:spacing w:after="0"/>
              <w:rPr>
                <w:sz w:val="15"/>
                <w:szCs w:val="15"/>
                <w:color w:val="auto"/>
              </w:rPr>
            </w:pPr>
          </w:p>
        </w:tc>
        <w:tc>
          <w:tcPr>
            <w:tcW w:w="4460" w:type="dxa"/>
            <w:vAlign w:val="bottom"/>
          </w:tcPr>
          <w:p>
            <w:pPr>
              <w:spacing w:after="0"/>
              <w:rPr>
                <w:sz w:val="15"/>
                <w:szCs w:val="15"/>
                <w:color w:val="auto"/>
              </w:rPr>
            </w:pPr>
          </w:p>
        </w:tc>
        <w:tc>
          <w:tcPr>
            <w:tcW w:w="1080" w:type="dxa"/>
            <w:vAlign w:val="bottom"/>
            <w:gridSpan w:val="2"/>
          </w:tcPr>
          <w:p>
            <w:pPr>
              <w:ind w:left="100"/>
              <w:spacing w:after="0" w:line="160" w:lineRule="exact"/>
              <w:rPr>
                <w:sz w:val="20"/>
                <w:szCs w:val="20"/>
                <w:color w:val="auto"/>
              </w:rPr>
            </w:pPr>
            <w:r>
              <w:rPr>
                <w:rFonts w:ascii="Times New Roman" w:cs="Times New Roman" w:eastAsia="Times New Roman" w:hAnsi="Times New Roman"/>
                <w:sz w:val="14"/>
                <w:szCs w:val="14"/>
                <w:b w:val="1"/>
                <w:bCs w:val="1"/>
                <w:color w:val="auto"/>
              </w:rPr>
              <w:t>Delivery</w:t>
            </w:r>
          </w:p>
        </w:tc>
        <w:tc>
          <w:tcPr>
            <w:tcW w:w="6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(TEU)</w:t>
            </w:r>
          </w:p>
        </w:tc>
        <w:tc>
          <w:tcPr>
            <w:tcW w:w="0" w:type="dxa"/>
            <w:vAlign w:val="bottom"/>
          </w:tcPr>
          <w:p>
            <w:pPr>
              <w:spacing w:after="0"/>
              <w:rPr>
                <w:sz w:val="1"/>
                <w:szCs w:val="1"/>
                <w:color w:val="auto"/>
              </w:rPr>
            </w:pPr>
          </w:p>
        </w:tc>
      </w:tr>
      <w:tr>
        <w:trPr>
          <w:trHeight w:val="203"/>
        </w:trPr>
        <w:tc>
          <w:tcPr>
            <w:tcW w:w="190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TBN XII</w:t>
            </w:r>
          </w:p>
        </w:tc>
        <w:tc>
          <w:tcPr>
            <w:tcW w:w="44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2"/>
              </w:rPr>
              <w:t>H2 2026</w:t>
            </w:r>
          </w:p>
        </w:tc>
        <w:tc>
          <w:tcPr>
            <w:tcW w:w="3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7,900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TBN XIII</w:t>
            </w:r>
          </w:p>
        </w:tc>
        <w:tc>
          <w:tcPr>
            <w:tcW w:w="44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H2 2026</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TBN XIV</w:t>
            </w:r>
          </w:p>
        </w:tc>
        <w:tc>
          <w:tcPr>
            <w:tcW w:w="4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H1 2027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TBN XVII</w:t>
            </w:r>
          </w:p>
        </w:tc>
        <w:tc>
          <w:tcPr>
            <w:tcW w:w="44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H2 2027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TBN XVIII</w:t>
            </w:r>
          </w:p>
        </w:tc>
        <w:tc>
          <w:tcPr>
            <w:tcW w:w="4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H2 2027</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16"/>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TBN XIX</w:t>
            </w:r>
          </w:p>
        </w:tc>
        <w:tc>
          <w:tcPr>
            <w:tcW w:w="446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H2 2027</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r>
        <w:trPr>
          <w:trHeight w:val="216"/>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TBN XX</w:t>
            </w:r>
          </w:p>
        </w:tc>
        <w:tc>
          <w:tcPr>
            <w:tcW w:w="4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H1 2028</w:t>
            </w: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8,850</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Tanker Vessels to be Delivered</w:t>
            </w:r>
          </w:p>
        </w:tc>
        <w:tc>
          <w:tcPr>
            <w:tcW w:w="3020" w:type="dxa"/>
            <w:vAlign w:val="bottom"/>
          </w:tcPr>
          <w:p>
            <w:pPr>
              <w:spacing w:after="0"/>
              <w:rPr>
                <w:sz w:val="13"/>
                <w:szCs w:val="13"/>
                <w:color w:val="auto"/>
              </w:rPr>
            </w:pPr>
          </w:p>
        </w:tc>
        <w:tc>
          <w:tcPr>
            <w:tcW w:w="21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0" w:type="dxa"/>
            <w:vAlign w:val="bottom"/>
          </w:tcPr>
          <w:p>
            <w:pPr>
              <w:spacing w:after="0"/>
              <w:rPr>
                <w:sz w:val="1"/>
                <w:szCs w:val="1"/>
                <w:color w:val="auto"/>
              </w:rPr>
            </w:pPr>
          </w:p>
        </w:tc>
      </w:tr>
      <w:tr>
        <w:trPr>
          <w:trHeight w:val="180"/>
        </w:trPr>
        <w:tc>
          <w:tcPr>
            <w:tcW w:w="1880" w:type="dxa"/>
            <w:vAlign w:val="bottom"/>
            <w:tcBorders>
              <w:bottom w:val="single" w:sz="8" w:color="auto"/>
            </w:tcBorders>
            <w:vMerge w:val="continue"/>
          </w:tcPr>
          <w:p>
            <w:pPr>
              <w:spacing w:after="0"/>
              <w:rPr>
                <w:sz w:val="15"/>
                <w:szCs w:val="15"/>
                <w:color w:val="auto"/>
              </w:rPr>
            </w:pPr>
          </w:p>
        </w:tc>
        <w:tc>
          <w:tcPr>
            <w:tcW w:w="3020" w:type="dxa"/>
            <w:vAlign w:val="bottom"/>
          </w:tcPr>
          <w:p>
            <w:pPr>
              <w:spacing w:after="0"/>
              <w:rPr>
                <w:sz w:val="15"/>
                <w:szCs w:val="15"/>
                <w:color w:val="auto"/>
              </w:rPr>
            </w:pPr>
          </w:p>
        </w:tc>
        <w:tc>
          <w:tcPr>
            <w:tcW w:w="2120" w:type="dxa"/>
            <w:vAlign w:val="bottom"/>
            <w:gridSpan w:val="2"/>
            <w:vMerge w:val="continue"/>
          </w:tcPr>
          <w:p>
            <w:pPr>
              <w:spacing w:after="0"/>
              <w:rPr>
                <w:sz w:val="15"/>
                <w:szCs w:val="15"/>
                <w:color w:val="auto"/>
              </w:rPr>
            </w:pPr>
          </w:p>
        </w:tc>
        <w:tc>
          <w:tcPr>
            <w:tcW w:w="100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Delivery</w:t>
            </w:r>
          </w:p>
        </w:tc>
        <w:tc>
          <w:tcPr>
            <w:tcW w:w="9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(DWT)</w:t>
            </w:r>
          </w:p>
        </w:tc>
        <w:tc>
          <w:tcPr>
            <w:tcW w:w="0" w:type="dxa"/>
            <w:vAlign w:val="bottom"/>
          </w:tcPr>
          <w:p>
            <w:pPr>
              <w:spacing w:after="0"/>
              <w:rPr>
                <w:sz w:val="1"/>
                <w:szCs w:val="1"/>
                <w:color w:val="auto"/>
              </w:rPr>
            </w:pPr>
          </w:p>
        </w:tc>
      </w:tr>
      <w:tr>
        <w:trPr>
          <w:trHeight w:val="203"/>
        </w:trPr>
        <w:tc>
          <w:tcPr>
            <w:tcW w:w="188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 xml:space="preserve">TBN I </w:t>
            </w:r>
            <w:r>
              <w:rPr>
                <w:rFonts w:ascii="Times New Roman" w:cs="Times New Roman" w:eastAsia="Times New Roman" w:hAnsi="Times New Roman"/>
                <w:sz w:val="23"/>
                <w:szCs w:val="23"/>
                <w:color w:val="auto"/>
                <w:vertAlign w:val="superscript"/>
              </w:rPr>
              <w:t>(2)</w:t>
            </w:r>
          </w:p>
        </w:tc>
        <w:tc>
          <w:tcPr>
            <w:tcW w:w="3020" w:type="dxa"/>
            <w:vAlign w:val="bottom"/>
            <w:tcBorders>
              <w:top w:val="single" w:sz="8" w:color="CCEEFF"/>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MR2 Product Tanker</w:t>
            </w: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rPr>
              <w:t>H2 2026</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52,000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TBN II </w:t>
            </w:r>
            <w:r>
              <w:rPr>
                <w:rFonts w:ascii="Times New Roman" w:cs="Times New Roman" w:eastAsia="Times New Roman" w:hAnsi="Times New Roman"/>
                <w:sz w:val="25"/>
                <w:szCs w:val="25"/>
                <w:color w:val="auto"/>
                <w:vertAlign w:val="superscript"/>
              </w:rPr>
              <w:t>(2)</w:t>
            </w:r>
          </w:p>
        </w:tc>
        <w:tc>
          <w:tcPr>
            <w:tcW w:w="30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MR2 Product Tanker</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H2 2026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TBN III </w:t>
            </w:r>
            <w:r>
              <w:rPr>
                <w:rFonts w:ascii="Times New Roman" w:cs="Times New Roman" w:eastAsia="Times New Roman" w:hAnsi="Times New Roman"/>
                <w:sz w:val="25"/>
                <w:szCs w:val="25"/>
                <w:color w:val="auto"/>
                <w:vertAlign w:val="superscript"/>
              </w:rPr>
              <w:t>(2)</w:t>
            </w:r>
          </w:p>
        </w:tc>
        <w:tc>
          <w:tcPr>
            <w:tcW w:w="30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MR2 Product Tanker</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H1 2027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TBN IV </w:t>
            </w:r>
            <w:r>
              <w:rPr>
                <w:rFonts w:ascii="Times New Roman" w:cs="Times New Roman" w:eastAsia="Times New Roman" w:hAnsi="Times New Roman"/>
                <w:sz w:val="25"/>
                <w:szCs w:val="25"/>
                <w:color w:val="auto"/>
                <w:vertAlign w:val="superscript"/>
              </w:rPr>
              <w:t>(2)</w:t>
            </w:r>
          </w:p>
        </w:tc>
        <w:tc>
          <w:tcPr>
            <w:tcW w:w="30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MR2 Product Tanker</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H1 2027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TBN V</w:t>
            </w:r>
            <w:r>
              <w:rPr>
                <w:rFonts w:ascii="Times New Roman" w:cs="Times New Roman" w:eastAsia="Times New Roman" w:hAnsi="Times New Roman"/>
                <w:sz w:val="25"/>
                <w:szCs w:val="25"/>
                <w:color w:val="auto"/>
                <w:vertAlign w:val="superscript"/>
              </w:rPr>
              <w:t>(5)</w:t>
            </w:r>
          </w:p>
        </w:tc>
        <w:tc>
          <w:tcPr>
            <w:tcW w:w="30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Aframax/LR2</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H2 2026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TBN VI</w:t>
            </w:r>
          </w:p>
        </w:tc>
        <w:tc>
          <w:tcPr>
            <w:tcW w:w="30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Aframax/LR2</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H1 2027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TBN VII</w:t>
            </w:r>
          </w:p>
        </w:tc>
        <w:tc>
          <w:tcPr>
            <w:tcW w:w="30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Aframax/LR2</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H1 2027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TBN VIII</w:t>
            </w:r>
          </w:p>
        </w:tc>
        <w:tc>
          <w:tcPr>
            <w:tcW w:w="30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Aframax/LR2</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H1 2027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TBN XV</w:t>
            </w:r>
          </w:p>
        </w:tc>
        <w:tc>
          <w:tcPr>
            <w:tcW w:w="30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Aframax/LR2</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H1 2027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TBN XVI</w:t>
            </w:r>
          </w:p>
        </w:tc>
        <w:tc>
          <w:tcPr>
            <w:tcW w:w="30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Aframax/LR2</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H1 2027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TBN IX</w:t>
            </w:r>
          </w:p>
        </w:tc>
        <w:tc>
          <w:tcPr>
            <w:tcW w:w="30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Aframax/LR2</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H2 2027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TBN X</w:t>
            </w:r>
          </w:p>
        </w:tc>
        <w:tc>
          <w:tcPr>
            <w:tcW w:w="30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Aframax/LR2</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H2 2027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TBN XI</w:t>
            </w:r>
          </w:p>
        </w:tc>
        <w:tc>
          <w:tcPr>
            <w:tcW w:w="30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Aframax/LR2</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H1 2028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TBN XXIII</w:t>
            </w:r>
          </w:p>
        </w:tc>
        <w:tc>
          <w:tcPr>
            <w:tcW w:w="30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VLCC</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H2 2028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TBN XXIV</w:t>
            </w:r>
          </w:p>
        </w:tc>
        <w:tc>
          <w:tcPr>
            <w:tcW w:w="30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VLCC</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H2 2028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TBN XXV</w:t>
            </w:r>
          </w:p>
        </w:tc>
        <w:tc>
          <w:tcPr>
            <w:tcW w:w="3020" w:type="dxa"/>
            <w:vAlign w:val="bottom"/>
          </w:tcPr>
          <w:p>
            <w:pPr>
              <w:spacing w:after="0"/>
              <w:rPr>
                <w:sz w:val="18"/>
                <w:szCs w:val="18"/>
                <w:color w:val="auto"/>
              </w:rPr>
            </w:pPr>
          </w:p>
        </w:tc>
        <w:tc>
          <w:tcPr>
            <w:tcW w:w="2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VLCC</w:t>
            </w: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H2 2028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TBN XXVI</w:t>
            </w:r>
          </w:p>
        </w:tc>
        <w:tc>
          <w:tcPr>
            <w:tcW w:w="302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VLCC</w:t>
            </w:r>
          </w:p>
        </w:tc>
        <w:tc>
          <w:tcPr>
            <w:tcW w:w="1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H2 2028</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580" w:right="1599" w:hanging="5282"/>
        <w:spacing w:after="0" w:line="673" w:lineRule="auto"/>
        <w:tabs>
          <w:tab w:leader="none" w:pos="71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is subject to a sale and leaseback transaction with a purchase obligation at the end of the contract. 6</w:t>
      </w:r>
    </w:p>
    <w:p>
      <w:pPr>
        <w:sectPr>
          <w:pgSz w:w="11900" w:h="16838" w:orient="portrait"/>
          <w:cols w:equalWidth="0" w:num="1">
            <w:col w:w="10139"/>
          </w:cols>
          <w:pgMar w:left="320" w:top="455"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087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20872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hanging="42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is subject to a bareboat contract with a purchase option at the end of the contract.</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 agreed to be sold.</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is subject to a bareboat contract with a purchase obligation at the end of the contract.</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 is subject to a sale and leaseback transaction with a purchase option at the end of the contract.</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vessels have been classified as operating leases in the Company’s Consolidated Balance Sheets.</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2026, the Company declared its option to acquire the vessel.</w:t>
      </w:r>
    </w:p>
    <w:p>
      <w:pPr>
        <w:spacing w:after="0" w:line="3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principal executive offices of Navios Partners are located at c/o 85 Akti Miaouli, Piraeus 18538, Greece, and its telephone number is +</w:t>
      </w:r>
    </w:p>
    <w:p>
      <w:pPr>
        <w:spacing w:after="0" w:line="27" w:lineRule="exact"/>
        <w:rPr>
          <w:sz w:val="20"/>
          <w:szCs w:val="20"/>
          <w:color w:val="auto"/>
        </w:rPr>
      </w:pPr>
    </w:p>
    <w:p>
      <w:pPr>
        <w:ind w:left="300" w:hanging="2"/>
        <w:spacing w:after="0" w:line="229" w:lineRule="auto"/>
        <w:tabs>
          <w:tab w:leader="none" w:pos="6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2104595000. The company contact person, for inquiries pertaining to this prospectus, is Mr. Todd E. Mason, reachable at the mailing address of Thompson Hine LLP, 300 Madison Ave., 27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New York, NY 10017, at the email address todd.mason@thompsonhine.com, or at the phone number +1 (212) 908-3946. Our website address is www.navios-mlp.com. The information on our website is not a part of this prospectus.</w:t>
      </w:r>
    </w:p>
    <w:p>
      <w:pPr>
        <w:spacing w:after="0" w:line="3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20"/>
          </w:cols>
          <w:pgMar w:left="320" w:top="455" w:right="7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Investing in our securities involves risks. Before investing in any securities offered pursuant to this prospectus, you should carefully consider the risk factors and uncertainties set forth under the heading “Item 3.D. Risk Factors” in our Annual Report, which is incorporated in this prospectus by reference, as updated by our subsequent filings under the Securities Exchange Act of 1934, as amended (the “Exchange Act”) and, if applicable, in any accompanying prospectus supplement subsequently filed relating to a specific offering or sale. These factors should be considered in conjunction with any other information included or incorporated by reference herein or which may be provided supplementally with this prospectus, including in conjunction with forward-looking statements made herein. See “Where You Can Find Additional Information.”</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320" w:top="455" w:right="5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OFFER STATISTICS AND EXPECTED TIMETABLE</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sell from time to time pursuant to this prospectus (as may be detailed in a prospectus supplement) an indeterminate number of common units and debt securities in one or more offerings up to a maximum dollar amount of $500,000,000. The securities offered under this prospectus may be offered separately, together, or in separate series, and in amounts, at prices, and on terms to be determined at the time of sale, which prices will depend on a number of factors that may be relevant as of the time of offer. We will keep the registration statement of which this prospectus forms a part effective until such time as all of the securities covered by this prospectus have been disposed of pursuant to and in accordance with such registration statement. See “Plan of Distribution.”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jc w:val="both"/>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This prospectus should be read in conjunction with the consolidated financial statements and accompanying notes included in the current report on Form 6-K that includes the consolidated financial statements for the three month period ended March 31, 2026, filed with the SEC on May 22, 2026 (the “Current Report”) and our Annual Report, which are incorporated in this prospectus by reference.</w:t>
      </w:r>
    </w:p>
    <w:p>
      <w:pPr>
        <w:spacing w:after="0" w:line="17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Statements included in this prospectus which are not historical facts (including our statements concerning plans and objectives of management for future operations or economic performance, or assumptions related thereto) are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and the markets in which we operate as described in this prospectus. In some cases, you can identify the forward-looking statements by the use of words such as “may”, “could”, “should”, “would”, “expect”, “plan”, “anticipate”, “intend”, “forecast”, “believe”, “estimate”, “predict”, “propose”, “potential”, “continue” or the negative of these terms or other comparable terminology.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Forward-looking statements appear in a number of places and include statements with respect to, among other things:</w:t>
      </w:r>
    </w:p>
    <w:p>
      <w:pPr>
        <w:spacing w:after="0" w:line="131"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quarterly cash distributions on our common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operating surplus and levels of distributions, as well as our future cash distribution policy;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business and growth strategies and other plans and objectives for future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take delivery of, integrate into our fleet, and employ additional vessels, whether secondhand, or newbuildings;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charter hire rates and vessel values;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debt and servicing of our bonds;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debt and equity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planned capital expenditures and availability of capital resources to fund capital expenditures;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supply of and demand for liquid and dry cargo commodities, as well as shipping capacity for dry cargo and tanker vessels;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interest rates, including Secured Overnight Financing Rate;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long-term relationships with major commodity traders, oil majors, operators and liner companies;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leverage the scale, experience, reputation and relationships of our Manager;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enter into long-term, fixed-rate time charters;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use of our vessels, including the re-deployment or disposition of vessels no longer under long-term time charters;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purchase prices of newbuildings and secondhand vessels;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for future chartering and newbuilding opportunities;</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condition or results of operations and our future revenues and expenses and required levels of reserves, including maintenance and replacement capital expenditures;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and costs due to environmental, safety and other incidents involving our vessels;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track record, and past and future performance, in safety, environmental and regulatory matters;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incremental general and administrative expenses as a publicly traded limited partnership and our expenses under the management agreement with the Manager and the administrative services agreement with the Manager both effective as of January 1, 2025 and for reimbursements for fees and costs of our general partner;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stock price of our ongoing stock repurchase program;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units in the public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international shipping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charter rates for tanker vessels, dry bulk carriers and containerships (“dry cargo”);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newbuildings currently under construction;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expand relationships with existing customers and obtain new customers;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customer or charter or vessel;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aging of our fleet and resultant increases in operations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vessels;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outlook and growth and changes in general economic and business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conditions, including wars, terrorism, piracy, sanctions and tariffs;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threats;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and expenses, including but not limited to: crew wages, insurance, provisions, port expenses, lube oil, bunkers, repairs, maintenance and general and administrative expenses;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insurance arrangements and our ability to obtain insurance and required certifications;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of, and our ability to comply with, governmental regulations and maritime self-regulatory organization standards, as well as standard regulations imposed by our charterers applicable to our business;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changes to the regulatory requirements applicable to the shipping industry, including, without limitation, stricter requirements adopted by international organizations, such as the International Maritime Organization and the European Union, or by individual countries or charterers and actions taken by regulatory authorities and governing such areas as safety and environmental compliance;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taxation of our partnership and our unitholders;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 officers;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increasing emphasis on environmental and safety concerns;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and costs of funding due to conditions in the banking sector, capital markets and other factors;</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growing expectations from investors, lenders, charterers, and other market participants regarding our sustainability practices, as well as our capacity to implement sustainability initiatives and achieve our objectives and targets;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from time to time in our periodic reports filed with the SEC.</w:t>
      </w:r>
    </w:p>
    <w:p>
      <w:pPr>
        <w:spacing w:after="0" w:line="225" w:lineRule="exact"/>
        <w:rPr>
          <w:sz w:val="20"/>
          <w:szCs w:val="20"/>
          <w:color w:val="auto"/>
        </w:rPr>
      </w:pPr>
    </w:p>
    <w:p>
      <w:pPr>
        <w:jc w:val="both"/>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These and other forward-looking statements are made based upon management’s current plans, expectations, estimates, assumptions and beliefs concerning future events impacting us and therefore involve a number of risks and uncertainties, including those set forth below, as well as those risks discussed in “Item 3.D. Risk Factors” in our Annual Report, which is incorporated in this prospectus by reference, as updated by our subsequent filings under the Exchange Act and, if applicable, in any accompanying prospectus supplement subsequently filed relating to a specific offering or sale.</w:t>
      </w:r>
    </w:p>
    <w:p>
      <w:pPr>
        <w:spacing w:after="0" w:line="16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risks and assumptions are inherently subject to significant uncertainties and contingencies, many of which are beyond our control and many of which have been and may further be, exacerbated by the continuing Ukranian and Middle East military conflicts, including in the Persian Gulf and the Straight of Hormuz and the impact they have had on the global economy. We caution that forward-looking statements are not guarantees and that actual results could differ materially from those expressed or implied in the forward-looking statements.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OFFER AND LISTING DETAILS</w:t>
      </w:r>
    </w:p>
    <w:p>
      <w:pPr>
        <w:spacing w:after="0" w:line="229"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We may sell from time to time pursuant to this prospectus (as may be detailed in a prospectus supplement) an indeterminate number of common units and debt securities which shall have a maximum aggregate offering price of $500,000,000. The actual price per common unit or per security of the securities that we will offer pursuant hereto will depend on a number of factors that may be relevant as of the time of offer. See “Plan of Distribution.”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common units are traded on the New York Stock Exchange (or “NYSE”) under the symbol “NMM”.</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Unless we indicate otherwise in the applicable prospectus supplement, we currently intend to use the net proceeds from this offering for working capital and general corporate purposes, including vessel acquisitions and other capital expenditure and growth opportunities.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have not determined the amounts we plan to spend for any particular purpose or the timing of these expenditures. As a result, our management will have broad discretion to allocate the net proceeds from this offering.</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We may set forth additional information on the use of net proceeds from the sale of securities we offer under this prospectus in a prospectus supplement relating to the specific offering.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March 31, 2026.</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historical data in the table is derived from our consolidated financial statements, which are incorporated by reference herein from our Current Report.</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As of</w:t>
            </w: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17"/>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1020" w:type="dxa"/>
            <w:vAlign w:val="bottom"/>
            <w:tcBorders>
              <w:top w:val="single" w:sz="8" w:color="auto"/>
            </w:tcBorders>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 of</w:t>
            </w:r>
          </w:p>
        </w:tc>
        <w:tc>
          <w:tcPr>
            <w:tcW w:w="10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 dollars)</w:t>
            </w:r>
          </w:p>
        </w:tc>
      </w:tr>
      <w:tr>
        <w:trPr>
          <w:trHeight w:val="198"/>
        </w:trPr>
        <w:tc>
          <w:tcPr>
            <w:tcW w:w="20" w:type="dxa"/>
            <w:vAlign w:val="bottom"/>
          </w:tcPr>
          <w:p>
            <w:pPr>
              <w:spacing w:after="0"/>
              <w:rPr>
                <w:sz w:val="17"/>
                <w:szCs w:val="17"/>
                <w:color w:val="auto"/>
              </w:rPr>
            </w:pPr>
          </w:p>
        </w:tc>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Total Secured Long-term Borrowings (including current portion and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40" w:type="dxa"/>
            <w:vAlign w:val="bottom"/>
            <w:shd w:val="clear" w:color="auto" w:fill="CCEEFF"/>
          </w:tcPr>
          <w:p>
            <w:pPr>
              <w:ind w:left="160"/>
              <w:spacing w:after="0" w:line="235" w:lineRule="exact"/>
              <w:rPr>
                <w:sz w:val="20"/>
                <w:szCs w:val="20"/>
                <w:color w:val="auto"/>
              </w:rPr>
            </w:pPr>
            <w:r>
              <w:rPr>
                <w:rFonts w:ascii="Times New Roman" w:cs="Times New Roman" w:eastAsia="Times New Roman" w:hAnsi="Times New Roman"/>
                <w:sz w:val="18"/>
                <w:szCs w:val="18"/>
                <w:color w:val="auto"/>
              </w:rPr>
              <w:t xml:space="preserve">excluding deferred financing fees)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1,898,809</w:t>
            </w:r>
          </w:p>
        </w:tc>
      </w:tr>
      <w:tr>
        <w:trPr>
          <w:trHeight w:val="223"/>
        </w:trPr>
        <w:tc>
          <w:tcPr>
            <w:tcW w:w="20" w:type="dxa"/>
            <w:vAlign w:val="bottom"/>
          </w:tcPr>
          <w:p>
            <w:pPr>
              <w:spacing w:after="0"/>
              <w:rPr>
                <w:sz w:val="19"/>
                <w:szCs w:val="19"/>
                <w:color w:val="auto"/>
              </w:rPr>
            </w:pPr>
          </w:p>
        </w:tc>
        <w:tc>
          <w:tcPr>
            <w:tcW w:w="6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Senior Unsecured Bonds </w:t>
            </w:r>
            <w:r>
              <w:rPr>
                <w:rFonts w:ascii="Times New Roman" w:cs="Times New Roman" w:eastAsia="Times New Roman" w:hAnsi="Times New Roman"/>
                <w:sz w:val="25"/>
                <w:szCs w:val="25"/>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Indebtedness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2,198,809</w:t>
            </w: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Unitholders (30,184,388 common units issued and 28,499,894</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common units outstanding as of March 31, 2026)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3,376,248</w:t>
            </w:r>
          </w:p>
        </w:tc>
      </w:tr>
      <w:tr>
        <w:trPr>
          <w:trHeight w:val="198"/>
        </w:trPr>
        <w:tc>
          <w:tcPr>
            <w:tcW w:w="20" w:type="dxa"/>
            <w:vAlign w:val="bottom"/>
          </w:tcPr>
          <w:p>
            <w:pPr>
              <w:spacing w:after="0"/>
              <w:rPr>
                <w:sz w:val="17"/>
                <w:szCs w:val="17"/>
                <w:color w:val="auto"/>
              </w:rPr>
            </w:pPr>
          </w:p>
        </w:tc>
        <w:tc>
          <w:tcPr>
            <w:tcW w:w="6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General Partner (622,296 general partnership units issued and outstanding as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of March 31, 2026)</w:t>
            </w: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61,403</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(1,536)</w:t>
            </w:r>
          </w:p>
        </w:tc>
      </w:tr>
      <w:tr>
        <w:trPr>
          <w:trHeight w:val="230"/>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Partners’ Capital</w:t>
            </w:r>
          </w:p>
        </w:tc>
        <w:tc>
          <w:tcPr>
            <w:tcW w:w="1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3,436,115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5,634,924</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Secured Long-term Borrowings (including current portion) exclude deferred financing costs of $22,079 as of March 31, 2026.</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Unsecured Bonds exclude deferred financing costs of $5,567 as of March 31, 2026.</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REGARDING THE MARKET FOR OUR COMMON UNITS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Our common units are traded on the NYSE under the symbol “NMM”. The last reported sale price for our common units on June 2, 2026 was $72.08.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 of Common Units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May 15, 2026, we had at least 22 common unitholders of record, 5 of which were located in the United States and held an aggregate of 23,710,060 of our common units, representing approximately 83.4% of our outstanding common units. However, one of the U.S. common unitholders of record is CEDE &amp; CO., a nominee of The Depository Trust Company, which held 23,708,757 of our common units as of that date. Accordingly, we believe that the units held by CEDE &amp; CO. include common units beneficially owned by holders located in multiple jurisdictions and therefore record ownership may not be representative of the residency or nationality of the ultimate beneficial owner. We are not aware of any arrangements the operation of which may at a subsequent date result in our change of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authorized quarterly cash distributions for the prior two years (eight quarters) of distributions, are presented below:</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 Quarterly</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of record of</w:t>
            </w: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Amount of the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 and General</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of</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3100" w:type="dxa"/>
            <w:vAlign w:val="bottom"/>
            <w:vMerge w:val="restart"/>
          </w:tcPr>
          <w:p>
            <w:pPr>
              <w:spacing w:after="0"/>
              <w:rPr>
                <w:sz w:val="12"/>
                <w:szCs w:val="12"/>
                <w:color w:val="auto"/>
              </w:rPr>
            </w:pPr>
          </w:p>
        </w:tc>
        <w:tc>
          <w:tcPr>
            <w:tcW w:w="19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Cash Distribution for</w:t>
            </w:r>
          </w:p>
        </w:tc>
        <w:tc>
          <w:tcPr>
            <w:tcW w:w="1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Partnership unit</w:t>
            </w:r>
          </w:p>
        </w:tc>
        <w:tc>
          <w:tcPr>
            <w:tcW w:w="17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Unit</w:t>
            </w:r>
          </w:p>
        </w:tc>
        <w:tc>
          <w:tcPr>
            <w:tcW w:w="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the three months ended</w:t>
            </w:r>
          </w:p>
        </w:tc>
        <w:tc>
          <w:tcPr>
            <w:tcW w:w="1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Unitholders</w:t>
            </w:r>
          </w:p>
        </w:tc>
        <w:tc>
          <w:tcPr>
            <w:tcW w:w="1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200" w:type="dxa"/>
            <w:vAlign w:val="bottom"/>
          </w:tcPr>
          <w:p>
            <w:pPr>
              <w:spacing w:after="0"/>
              <w:rPr>
                <w:sz w:val="15"/>
                <w:szCs w:val="15"/>
                <w:color w:val="auto"/>
              </w:rPr>
            </w:pPr>
          </w:p>
        </w:tc>
        <w:tc>
          <w:tcPr>
            <w:tcW w:w="7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July 2024</w:t>
            </w:r>
          </w:p>
        </w:tc>
        <w:tc>
          <w:tcPr>
            <w:tcW w:w="1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June 30, 2024</w:t>
            </w:r>
          </w:p>
        </w:tc>
        <w:tc>
          <w:tcPr>
            <w:tcW w:w="2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August 9, 2024</w:t>
            </w:r>
          </w:p>
        </w:tc>
        <w:tc>
          <w:tcPr>
            <w:tcW w:w="22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August 14, 2024</w:t>
            </w: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88"/>
              </w:rPr>
              <w:t>0.05</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1,531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2024</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12, 2024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15, 2024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1,521</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2025</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February 10, 2025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13, 2025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2025</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March 31, 2025</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May 9, 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14, 2025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2025</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June 30, 2025</w:t>
            </w:r>
          </w:p>
        </w:tc>
        <w:tc>
          <w:tcPr>
            <w:tcW w:w="19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8"/>
              </w:rPr>
              <w:t>August 11, 2025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August 14, 2025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2025</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10, 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14, 2025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2026</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December 31, 2025</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February 9, 2026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February 12, 2026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1,461</w:t>
            </w:r>
          </w:p>
        </w:tc>
        <w:tc>
          <w:tcPr>
            <w:tcW w:w="0" w:type="dxa"/>
            <w:vAlign w:val="bottom"/>
          </w:tcPr>
          <w:p>
            <w:pPr>
              <w:spacing w:after="0"/>
              <w:rPr>
                <w:sz w:val="1"/>
                <w:szCs w:val="1"/>
                <w:color w:val="auto"/>
              </w:rPr>
            </w:pP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2026</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March 31, 2026</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11, 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14, 2026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amount of distributions paid by us and the decision to make any distribution is determined by our Board of Directors and will depend on, among other things, our cash requirements as measured by market opportunities and restrictions under our credit agreements and other debt obligations and such other factors as the Board of Directors may deem advisable. There is no guarantee that we will pay the quarterly distribution on the common units in any quarter. We are prohibited from making any distributions to unitholders if it would cause an event of default, or an event of default exists, under our existing credit agreements and other debt obligations.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SECURITIES WE MAY OFFER</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all the material terms and provisions of the various types of securities that we may offer. We will describe in the applicable prospectus supplement relating to any securities the particular terms of the securities offered by that prospectus supplement. If we indicate in the applicable prospectus supplement, the terms of the securities may differ from the terms we have summarized below. We will also include information in the prospectus supplement, where applicable, about material United States federal income tax considerations, if any, relating to the securities, and the securities exchange, if any, on which the securities will be listed.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from time to time, in one or more offerings:</w:t>
      </w:r>
    </w:p>
    <w:p>
      <w:pPr>
        <w:spacing w:after="0" w:line="13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units; and/or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may not be used to consummate a sale of securities unless it is accompanied by a prospectus supplement.</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COMMON UNITS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Units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common units represent limited partner interests in us. The holders of common units are entitled to participate in partnership distributions and exercise the rights and privileges available to limited partners under our partnership agreement. The partnership agreement provides that we may issue an unlimited number of limited partner interests of any type without a vote of the unitholders. Our common units do not have a par value. Other than as set forth herein, since May 11, 2023, our Partners’ capital has not changed.</w:t>
      </w:r>
    </w:p>
    <w:p>
      <w:pPr>
        <w:spacing w:after="0" w:line="180"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Pursuant to the Company’s repurchase program, from March 31, 2026 to May 15, 2026, Navios Partners has repurchased 75,275 common units and 1,759,769 common units since the commencement of the program, for a total cost of approximately $5.4 million and $83.6 million, respectively. The units repurchased by the Company pursuant to the repurchase program are held as treasury units.</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For a description of the relative rights and privileges of holders of common units in and to partnership distributions, please read the section “Our Cash Distribution Policy and Restrictions on Distributions” herein. For a description of the rights and privileges of limited partners under our partnership agreement, including voting rights, please read “The Partnership Agreement” in the prospectus dated November 12, 2007 included in our registration statement on Form F-1, as amended, initially filed with the SEC on October 26, 2007.</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Duties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Continental Stock Transfer &amp; Trust Company serves as registrar and transfer agent for the common units. We pay all fees charged by the transfer agent for transfers of common units, except the following, which must be paid by unitholders:</w:t>
      </w:r>
    </w:p>
    <w:p>
      <w:pPr>
        <w:spacing w:after="0" w:line="67"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surety bond premiums to replace lost or stolen certificates, taxes and other governmental charges;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charges for services requested by a holder of a common unit;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fees or charges.</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There is no charge to unitholders for disbursements of our cash distributions. We will indemnify the transfer agent, its agents and each of their stockholders, directors, executive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Resignation or Removal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transfer agent may resign, by notice to us, or be removed by us. The resignation or removal of the transfer agent will become effective upon our appointment of a successor transfer agent and registrar and its acceptance of the appointment. If a successor has not been appointed or has not accepted its appointment within 30 days after notice of the resignation or removal, our General Partner may, at the direction of our board of directors, act as the transfer agent and registrar until a successor is appointed.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of Common Units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By transfer of common units in accordance with our partnership agreement, each transferee of common units shall be admitted as a limited partner with respect to the common units transferred when such transfer and admission is reflected in our books and records. Each transferee:</w:t>
      </w:r>
    </w:p>
    <w:p>
      <w:pPr>
        <w:spacing w:after="0" w:line="67" w:lineRule="exact"/>
        <w:rPr>
          <w:sz w:val="20"/>
          <w:szCs w:val="20"/>
          <w:color w:val="auto"/>
        </w:rPr>
      </w:pPr>
    </w:p>
    <w:p>
      <w:pPr>
        <w:ind w:left="5540" w:right="1760" w:hanging="4884"/>
        <w:spacing w:after="0" w:line="454" w:lineRule="auto"/>
        <w:tabs>
          <w:tab w:leader="none" w:pos="109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the transferee has the capacity, power and authority to become bound by our partnership agreement; 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agrees to be bound by the terms and conditions of, and is deemed to have executed, our partnership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gives the consents and approvals contained in our partnership agreement.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 transferee will become a substituted limited partner of our partnership for the transferred common units automatically upon the recording of the transfer on our books and records. Our General Partner will cause any transfers to be recorded on our books and records no less frequently than quarterly. We may, at our discretion, treat the nominee holder of a common unit as the absolute owner. In that case, the beneficial holder’s rights are limited solely to those that it has against the nominee holder as a result of any agreement between the beneficial owner and the nominee holder.</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Common units are securities and are transferable according to the laws governing transfer of securities. In addition to other rights acquired upon transfer, the transferor gives the transferee the right to become a limited partner in our partnership for the transferred common units. Until a common unit has been transferred on our books, we and the transfer agent may treat the recordholder of the unit as the absolute owner for all purposes, except as otherwise required by law or stock exchange regulations.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the material terms and provisions of the debt securities that we may offer under this prospectus. While the terms we have summarized below will apply generally to any future debt securities we may offer, we will describe the particular terms of any debt securities that we may offer in more detail in the applicable prospectus supplement. If we so indicate in a prospectus supplement, the terms of any debt securities we offer under that prospectus supplement may differ from the terms we describe below.</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debt securities we may offer and sell pursuant to this prospectus will be either senior debt securities or subordinated debt securities. We will issue the senior notes under the senior indenture, which we will enter into with a trustee to be named in the senior indenture. We will issue the subordinated notes under the subordinated indenture, which we will enter into with a trustee to be named in the subordinated indenture. We use the term “indentures” to refer to both the senior indenture and the subordinated indenture. The indentures will be qualified under the Trust Indenture Act. We use the term “debenture trustee” to refer to either the senior trustee or the subordinated trustee, as applicable.</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summaries of material provisions of any series of debt securities and the indentures are subject to, and qualified in their entirety by reference to, all the provisions of the indenture applicable to a particular series of debt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describe in each prospectus supplement the following terms relating to a series of notes:</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notes in global form,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notes will be issued with original issue discount;</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notes will be secured or unsecured, and the terms of any secured debt; the terms of the subordination of any series of subordinated debt; the place where payments will be made;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and the price at which, we may, at our option, redeem the series of notes pursuant to any optional redemption provisions;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provisions or otherwise, to redeem, or at the holder’s option to purchase, the series of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 pay dividends, or will require us to maintain any asset ratios or reserves;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be restricted from incurring any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United States federal income tax considerations applicable to the notes;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60"/>
          </w:cols>
          <w:pgMar w:left="320" w:top="455" w:right="5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notes, if other than denominations of $1,000 and any integral multiple thereof;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will set forth in the prospectus supplement the terms on which a series of notes may be convertible into or exchangeable for common units or other securities of ours. We will include provisions as to whether conversion or exchange is mandatory, at the option of the holder or at our option. We may include provisions pursuant to which the number of common units or other securities of ours that the holders of the series of notes receive would be subject to adjustment.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indentures do not contain any covenant which restricts our ability to merge or consolidate, or sell, convey, transfer or otherwise dispose of all or substantially all of our assets. However, any successor to or acquirer of such assets must assume all of our obligations under the indentures or the notes, as appropriate.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events of default under the indentures with respect to any series of notes that we may issue:</w:t>
      </w:r>
    </w:p>
    <w:p>
      <w:pPr>
        <w:spacing w:after="0" w:line="13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our failure continues for 90 days and the time for payment has not been extended or deferred;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the time for payment has not been extended or delayed;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notes or the indentures, other than a covenant specifically relating to another series of notes, and our failure continues for 90 days after we receive notice from the debenture trustee or holders of at least 25% in aggregate principal amount of the outstanding notes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as to us.</w:t>
      </w:r>
    </w:p>
    <w:p>
      <w:pPr>
        <w:spacing w:after="0" w:line="225"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an event of default with respect to notes of any series occurs and is continuing, the debenture trustee or the holders of at least 25% in aggregate principal amount of the outstanding notes of that series, by notice to us in writing, and to the debenture trustee if notice is given by such holders, may declare the unpaid principal of, premium, if any, and accrued interest, if any, due and payable immediately.</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notes, unless such holders have offered the debenture trustee reasonable indemnity. The holders of a majority in principal amount of the outstanding notes of any series will have the right to direct the time, method and place of conducting any proceeding for any remedy available to the debenture trustee, or exercising any trust or power conferred on the debenture trustee, with respect to the notes of that series, provided that:</w:t>
      </w:r>
    </w:p>
    <w:p>
      <w:pPr>
        <w:spacing w:after="0" w:line="89" w:lineRule="exact"/>
        <w:rPr>
          <w:sz w:val="20"/>
          <w:szCs w:val="20"/>
          <w:color w:val="auto"/>
        </w:rPr>
      </w:pPr>
    </w:p>
    <w:p>
      <w:pPr>
        <w:ind w:left="5540" w:right="2980" w:hanging="4884"/>
        <w:spacing w:after="0" w:line="454" w:lineRule="auto"/>
        <w:tabs>
          <w:tab w:leader="none" w:pos="109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 19</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 holder of the notes of any series will only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debenture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notes of that series have made written request, and such holders have offered reasonable indemnity, to the debenture trustee to institute the proceeding as trustee;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debenture trustee does not institute the proceeding, and does not receive from the holders of a majority in aggregate principal amount of the outstanding notes of that series other conflicting directions within 60 days after the notice, request and offer.</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notes if we default in the payment of the principal, premium, if any, or interest on, the notes.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periodically file statements with the debenture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debenture trustee may change an indenture without the consent of any holders with respect to specific matters, including:</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notes of any series.</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notes may be changed by us and the debenture trustee with the written consent of the holders of at least a majority in aggregate principal amount of the outstanding notes of each series that is affected. However, we and the debenture trustee may only make the following changes with the consent of each holder of any outstanding notes affected:</w:t>
      </w:r>
    </w:p>
    <w:p>
      <w:pPr>
        <w:spacing w:after="0" w:line="81"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fixed maturity of the series of notes;</w:t>
      </w:r>
    </w:p>
    <w:p>
      <w:pPr>
        <w:spacing w:after="0" w:line="130" w:lineRule="exact"/>
        <w:rPr>
          <w:rFonts w:ascii="Times New Roman" w:cs="Times New Roman" w:eastAsia="Times New Roman" w:hAnsi="Times New Roman"/>
          <w:sz w:val="18"/>
          <w:szCs w:val="18"/>
          <w:color w:val="auto"/>
        </w:rPr>
      </w:pPr>
    </w:p>
    <w:p>
      <w:pPr>
        <w:ind w:left="1080" w:right="6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any premium payable upon the redemption of any notes;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notes, the holders of which are required to consent to any amendment.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Each indenture provides that we can elect to be discharged from our obligations with respect to one or more series of debt securities, except for obligations to:</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if any,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will issue the notes of each series only in fully registered form without coupons and, unless we otherwise specify in the applicable prospectus supplement, in denominations of $1,000 and any integral multiple thereof. The indentures provide that we may issue notes of a series in temporary or permanent global form and as book-entry securities that will be deposited with, or on behalf of, The Depository Trust Company or another depository named by us and identified in a prospectus supplement with respect to that series.</w:t>
      </w:r>
    </w:p>
    <w:p>
      <w:pPr>
        <w:spacing w:after="0" w:line="180"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At the option of the holder, subject to the terms of the indentures and the limitations applicable to global securities described in the applicable prospectus supplement, the holder of the notes of any series can exchange the notes for other notes of the same series, in any authorized denomination and of like tenor and aggregate principal amount.</w:t>
      </w:r>
    </w:p>
    <w:p>
      <w:pPr>
        <w:spacing w:after="0" w:line="176"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Subject to the terms of the indentures and the limitations applicable to global securities set forth in the applicable prospectus supplement, holders of the notes may present the notes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w:t>
      </w:r>
    </w:p>
    <w:p>
      <w:pPr>
        <w:spacing w:after="0" w:line="2"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Unless otherwise provided in the notes that the holder presents for transfer or exchange, we will make no service charge for any registration of transfer or exchange, but we may require payment of any taxes or other governmental charges.</w:t>
      </w:r>
    </w:p>
    <w:p>
      <w:pPr>
        <w:spacing w:after="0" w:line="18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the security registrar, and any transfer agent in addition to the security registrar, that we initially designate for any notes. We may at any time designate additional transfer agents or rescind the designation of any transfer agent or approve a change in the office through which any transfer agent acts, except that we will be required to maintain a transfer agent in each place of payment for the notes of each series.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we elect to redeem the notes of any series, we will not be required to:</w:t>
      </w:r>
    </w:p>
    <w:p>
      <w:pPr>
        <w:spacing w:after="0" w:line="131" w:lineRule="exact"/>
        <w:rPr>
          <w:sz w:val="20"/>
          <w:szCs w:val="20"/>
          <w:color w:val="auto"/>
        </w:rPr>
      </w:pPr>
    </w:p>
    <w:p>
      <w:pPr>
        <w:ind w:left="1080" w:right="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notes of that series during a period beginning at the opening of business 10 days before the day of mailing of a notice of redemption of any notes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notes so selected for redemption, in whole or in part, except the unredeemed portion of any notes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Debenture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debenture trustee, other than during the occurrence and continuance of an event of default under an indenture, undertakes to perform only those duties as are specifically set forth in the applicable indenture. Upon an event of default under an indenture, the debenture trustee must use the same degree of care as a prudent person would exercise or use in the conduct of his or her own affairs. Subject to this provision, the debenture trustee is under no obligation to exercise any of the powers given it by the indentures at the request of any holder of notes unless it is offered reasonable security and indemnity against the costs, expenses and liabilities that it might incur.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we will make payment of the interest on any notes on any interest payment date to the person in whose name the notes, or one or more predecessor securities, are registered at the close of business on the regular record date for the interest.</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notes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notes of each series. We will name in the applicable prospectus supplement any other paying agents that we initially designate for the notes of a particular series. We will maintain a paying agent in each place of payment for the notes of a particular series.</w:t>
      </w:r>
    </w:p>
    <w:p>
      <w:pPr>
        <w:spacing w:after="0" w:line="18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debenture trustee for the payment of the principal of or any premium or interest on any notes which remains unclaimed at the end of two years after such principal, premium or interest has become due and payable will be repaid to us, and the holder of the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indentures and the notes will be governed by and construed in accordance with the laws of the Republic of Marshall Islands,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 of Subordinated Notes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subordinated notes will be unsecured and will be subordinate and junior in priority of payment to certain of our other indebtedness to the extent described in a prospectus supplement. The subordinated indenture does not limit the amount of subordinated notes which we may issue. It also does not limit us from issuing any other secured or unsecured debt.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participants.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the payment or notice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the responsibility of the 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67" w:lineRule="exact"/>
        <w:rPr>
          <w:sz w:val="20"/>
          <w:szCs w:val="20"/>
          <w:color w:val="auto"/>
        </w:rPr>
      </w:pPr>
    </w:p>
    <w:p>
      <w:pPr>
        <w:ind w:left="540" w:hanging="316"/>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130" w:lineRule="exact"/>
        <w:rPr>
          <w:rFonts w:ascii="Times New Roman" w:cs="Times New Roman" w:eastAsia="Times New Roman" w:hAnsi="Times New Roman"/>
          <w:sz w:val="18"/>
          <w:szCs w:val="18"/>
          <w:color w:val="auto"/>
        </w:rPr>
      </w:pPr>
    </w:p>
    <w:p>
      <w:pPr>
        <w:ind w:left="540" w:right="600" w:hanging="316"/>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 global security is a security held by a depositary which represents one or any other number of individual securities. Generally, all securities represented by the same global securities will have the same terms.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w:t>
      </w:r>
    </w:p>
    <w:p>
      <w:pPr>
        <w:spacing w:after="0" w:line="18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89"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2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131" w:lineRule="exact"/>
        <w:rPr>
          <w:sz w:val="20"/>
          <w:szCs w:val="20"/>
          <w:color w:val="auto"/>
        </w:rPr>
      </w:pPr>
    </w:p>
    <w:p>
      <w:pPr>
        <w:ind w:left="1080" w:right="1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non-global certificates for his or her interest in the securities, except in the special situations we describe below;</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under “Legal Ownership of Securities” above;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non-book-entry form;</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any applicable trustee have no responsibility for any aspect of the depositary’s actions or for its records of ownership interests in a global security. We and the trustee also do not supervise the depositary in any way;</w:t>
      </w:r>
    </w:p>
    <w:p>
      <w:pPr>
        <w:spacing w:after="0" w:line="81"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 so that they will be direct holders. We have described the rights of holders and street name investors above.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global security will terminate when the following special situations occur:</w:t>
      </w:r>
    </w:p>
    <w:p>
      <w:pPr>
        <w:spacing w:after="0" w:line="131" w:lineRule="exact"/>
        <w:rPr>
          <w:sz w:val="20"/>
          <w:szCs w:val="20"/>
          <w:color w:val="auto"/>
        </w:rPr>
      </w:pPr>
    </w:p>
    <w:p>
      <w:pPr>
        <w:ind w:left="1080" w:right="2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120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prospectus supplement may also list additional situations for terminating a global security that would apply only to the particular series of securities covered by the prospectus supplement. When a global security terminates, the depositary, and not we or any applicable trustee, is responsible for deciding the names of the institutions that will be the initial direct holders.</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320" w:top="455" w:right="5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sell the securities being offered hereby in one or more of the following ways from time to time:</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dealers or agents to the public or to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underwriters for resale to the public or to investors;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investors;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such methods.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set forth in a prospectus supplement the terms of the offering of securities, including:</w:t>
      </w:r>
    </w:p>
    <w:p>
      <w:pPr>
        <w:spacing w:after="0" w:line="13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agents, dealers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being offered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exchanges on which the securities may be listed.</w:t>
      </w:r>
    </w:p>
    <w:p>
      <w:pPr>
        <w:spacing w:after="0" w:line="225"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the securities may be deemed to be underwriters as defined in the Securities Act and any discounts or commissions they receive from us and any profit on their resale of the securities may be treated as underwriting discounts and commissions under the Securities Act.</w:t>
      </w:r>
    </w:p>
    <w:p>
      <w:pPr>
        <w:spacing w:after="0" w:line="17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or our subsidiaries in the ordinary course of their businesses.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Certain persons that participate in the distribution of the securities may engage in transactions that stabilize, maintain or otherwise affect the price of the securities, including over-allotment, stabilizing and short-covering transactions in such securities, and the imposition of penalty bids, in connection with an offering. Certain persons may also engage in passive market making transactions as permitted by Rule 103 of Regulation M.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a continuous offering program or equity distribution agreement with a broker-dealer, under which we may offer and sell our common units from time to time through a broker-dealer as our sales agent. If we enter into such a program, sales of securities, if any, will be made by means of ordinary brokers’ transactions on the NYSE at market prices, block transactions and such other transactions as agreed upon by us and the broker-dealer. Under the terms of such a program, we also may sell securities to the broker-dealer, as principal for its own account at a price agreed upon at the time of sale. If we sell securities to such broker-dealer as principal, we will enter into a separate terms agreement with such broker-dealer, and we will describe this agreement in a separate prospectus supplement or pricing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OUR CASH DISTRIBUTION POLICY AND RESTRICTIONS ON DISTRIBUTIONS</w:t>
      </w:r>
    </w:p>
    <w:p>
      <w:pPr>
        <w:spacing w:after="0" w:line="227"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cash distribution policy and restrictions on distributions in conjunction with specific assumptions included in this section. In addition, you should read “Forward-Looking Statements” and “Risk Factors” for information regarding statements that do not relate strictly to historical or current facts and certain risks inherent in our business.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Limitations on Cash Distributions and Our Ability to Change Our Cash Distribution Policy</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There is no guarantee that unitholders will continue to receive quarterly distributions from us. From July 2020, the Company paid quarterly cash distributions in the amount of $0.05 per unit, or $0.20 annually until the fourth quarter of 2025. In February 2026, the Company amended its distribution policy effective from the first quarter of 2026 under which it intends to pay quarterly cash distributions in the amount of $0.06 per unit, or $0.24 annually.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 discussion of our distribution policy, please refer to our Annual Report, which is incorporated by reference to this filing.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Quarterly Distribution</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amount of distributions paid by us and the decision to make any distribution is determined by our Board of Directors and will depend on, among other things, our cash requirements as measured by market opportunities and restrictions under our credit agreements and other debt obligations and such other factors as the Board of Directors may deem advisable. There is no guarantee that we will pay the quarterly distribution on the common units in any quarter. We are prohibited from making any distributions to unitholders if it would cause an event of default, or an event of default exists, under our existing credit agreements and other debt obligations. For a discussion of our recent distributions, please refer to “</w:t>
      </w:r>
      <w:r>
        <w:rPr>
          <w:rFonts w:ascii="Times New Roman" w:cs="Times New Roman" w:eastAsia="Times New Roman" w:hAnsi="Times New Roman"/>
          <w:sz w:val="18"/>
          <w:szCs w:val="18"/>
          <w:i w:val="1"/>
          <w:iCs w:val="1"/>
          <w:color w:val="auto"/>
        </w:rPr>
        <w:t>Information Regarding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Market for Our Common Units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Distributions</w:t>
      </w:r>
      <w:r>
        <w:rPr>
          <w:rFonts w:ascii="Times New Roman" w:cs="Times New Roman" w:eastAsia="Times New Roman" w:hAnsi="Times New Roman"/>
          <w:sz w:val="18"/>
          <w:szCs w:val="18"/>
          <w:color w:val="auto"/>
        </w:rPr>
        <w:t>” herein and our Annual Report, which is incorporated by reference to this filing.</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Incentive Distribution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are incentive distribution rights held by Navios GP L.L.C., which are analyzed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Marginal Percentage Interest in Distributions</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000" w:type="dxa"/>
            <w:vAlign w:val="bottom"/>
          </w:tcPr>
          <w:p>
            <w:pPr>
              <w:spacing w:after="0"/>
              <w:rPr>
                <w:sz w:val="10"/>
                <w:szCs w:val="10"/>
                <w:color w:val="auto"/>
              </w:rPr>
            </w:pPr>
          </w:p>
        </w:tc>
        <w:tc>
          <w:tcPr>
            <w:tcW w:w="31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Total Quarterly Distribution</w:t>
            </w:r>
          </w:p>
        </w:tc>
        <w:tc>
          <w:tcPr>
            <w:tcW w:w="1480" w:type="dxa"/>
            <w:vAlign w:val="bottom"/>
            <w:gridSpan w:val="2"/>
            <w:vMerge w:val="restart"/>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6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Incentive</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0" w:type="dxa"/>
            <w:vAlign w:val="bottom"/>
          </w:tcPr>
          <w:p>
            <w:pPr>
              <w:spacing w:after="0"/>
              <w:rPr>
                <w:sz w:val="1"/>
                <w:szCs w:val="1"/>
                <w:color w:val="auto"/>
              </w:rPr>
            </w:pPr>
          </w:p>
        </w:tc>
      </w:tr>
      <w:tr>
        <w:trPr>
          <w:trHeight w:val="146"/>
        </w:trPr>
        <w:tc>
          <w:tcPr>
            <w:tcW w:w="4000" w:type="dxa"/>
            <w:vAlign w:val="bottom"/>
          </w:tcPr>
          <w:p>
            <w:pPr>
              <w:spacing w:after="0"/>
              <w:rPr>
                <w:sz w:val="12"/>
                <w:szCs w:val="12"/>
                <w:color w:val="auto"/>
              </w:rPr>
            </w:pPr>
          </w:p>
        </w:tc>
        <w:tc>
          <w:tcPr>
            <w:tcW w:w="316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Distribution Right</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00" w:type="dxa"/>
            <w:vAlign w:val="bottom"/>
            <w:tcBorders>
              <w:bottom w:val="single" w:sz="8" w:color="CCEEFF"/>
            </w:tcBorders>
          </w:tcPr>
          <w:p>
            <w:pPr>
              <w:spacing w:after="0"/>
              <w:rPr>
                <w:sz w:val="15"/>
                <w:szCs w:val="15"/>
                <w:color w:val="auto"/>
              </w:rPr>
            </w:pPr>
          </w:p>
        </w:tc>
        <w:tc>
          <w:tcPr>
            <w:tcW w:w="26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Target Amount</w:t>
            </w:r>
          </w:p>
        </w:tc>
        <w:tc>
          <w:tcPr>
            <w:tcW w:w="5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Unitholders</w:t>
            </w:r>
          </w:p>
        </w:tc>
        <w:tc>
          <w:tcPr>
            <w:tcW w:w="7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Holder</w:t>
            </w:r>
          </w:p>
        </w:tc>
        <w:tc>
          <w:tcPr>
            <w:tcW w:w="54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8"/>
              </w:rPr>
              <w:t>Partner</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Quarterly Distribution</w:t>
            </w:r>
          </w:p>
        </w:tc>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$5.25</w:t>
            </w:r>
          </w:p>
        </w:tc>
        <w:tc>
          <w:tcPr>
            <w:tcW w:w="5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First Target Distribution</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to $6.0375</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98%</w:t>
            </w:r>
          </w:p>
        </w:tc>
        <w:tc>
          <w:tcPr>
            <w:tcW w:w="166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88"/>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Target Distribution</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above $6.0375 up to $6.5625</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Third Target Distribution</w:t>
            </w: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above $6.5625 up to $7.875</w:t>
            </w: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75%</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23%</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above $7.875</w:t>
            </w:r>
          </w:p>
        </w:tc>
        <w:tc>
          <w:tcPr>
            <w:tcW w:w="14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48%</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first 98% of the quarterly distribution is paid to all common unitholders. The incentive distributions rights (held by Navios GP L.L.C.) apply only after a minimum quarterly distribution of $6.0375 per unit.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55"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that may be relevant to prospective beneficial owners of our common units and, unless otherwise noted in the following discussion, is the opinion of Thompson Hine LLP, our U.S. counsel, insofar as it relates to matters of U.S. federal income tax law and legal conclusions with respect to those matters. The opinion of our counsel is dependent on the accuracy of representations made by us to them, including descriptions of our operations contained herein.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discussion is based upon provisions of the Internal Revenue Code of 1986, as amended (the “Code”), U.S. Treasury Regulations, and administrative rulings and court decisions, all as in effect or in existence on the date of this prospectus and all of which are subject to change or differing interpretations by the Internal Revenue Service (“IRS”) or a court, possibly with retroactive effect. Changes in these authorities may cause the tax consequences of ownership of our common units to vary substantially from the consequences described below. For example, the current U.S. administration may make tax proposals that would, if enacted, make significant changes to U.S. tax laws. The U.S. Congress may consider, and could include, some or all of these proposals in connection with any tax legislation. It is unclear whether any changes will be enacted and, if enacted, how soon any such changes could take effect. Unless the context otherwise requires, references in this section to “we,” “our” or “us” are references to Navios Maritime Partners L.P.</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following discussion applies only to beneficial owners of common units that own the common units as “capital assets” (generally, property held for investment purposes). The following discussion does not address all aspects of U.S. federal income taxation that may be important to particular beneficial owners of common units in light of their individual circumstances, such as (i) beneficial owners of common units subject to special tax rules (e.g., banks or other financial institutions, real estate investment trusts, regulated investment companies, insurance companies, broker-dealers, traders that elect to mark-to-market for U.S. federal income tax purposes, tax-exempt organizations and retirement plans, individual retirement accounts and tax-deferred accounts, or former citizens or long-term residents of the United States), beneficial owners that will hold the common units as part of a straddle, hedge, conversion, constructive sale, or other integrated transaction for U.S. federal income tax purposes, or beneficial owners that are accrual method taxpayers for U.S. federal income tax purposes and are required to accelerate the recognition of any item of gross income with respect to the common units as a result of such income being recognized on an applicable financial statement, (ii) partnerships or other entities classified as partnerships for U.S. federal income tax purposes or their partners, (iii) U.S. Holders (as defined below) that have a functional currency other than the U.S. dollar or (iv) beneficial owners of common units that own 2.0% or more (by vote or value) of our common units (including beneficial owners entitled to a “dividends received deduction” with respect to our common units), all of whom may be subject to tax rules that differ significantly from those summarized below. If a partnership or other entity classified as a partnership for U.S. federal income tax purposes holds our common units, the tax treatment of its partners generally will depend upon the status of the partner, the activities of the partnership and certain determinations made at the partner level. If you are a partner in a partnership holding our common units, you should consult your own tax advisor regarding the tax consequences to you of the partnership’s ownership of our common units.</w:t>
      </w:r>
    </w:p>
    <w:p>
      <w:pPr>
        <w:spacing w:after="0" w:line="19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No ruling has been obtained or will be requested from the IRS, regarding any matter affecting us or holders of our common units. The opinions and statements made herein may be challenged by the IRS and, if so challenged, may not be sustained upon review in a court.</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contain information regarding any state or local, estate, gift or alternative minimum tax considerations concerning the ownership or disposition of common units.</w:t>
      </w:r>
    </w:p>
    <w:p>
      <w:pPr>
        <w:spacing w:after="0" w:line="158"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Each prospective beneficial owner of our common units should consult its own tax advisor regarding the U.S. federal, state, local, and other tax consequences of the ownership or disposition of common units.</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Election to Be Treated as a Corporation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have elected to be treated as a corporation for U.S. federal income tax purposes. Consequently, among other things, U.S. Holders (as defined below) will not directly be subject to U.S. federal income tax on their shares of our income, but rather will be subject to U.S. federal income tax on distributions received from us and dispositions of common units as described below. For a further discussion of our treatment for U.S. federal income tax purposes, please see pages 26-27, 60-61, and 90 to 96 of our Annual Report, which is incorporated by reference into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Taxation of U.S.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herein, the term “U.S. Holder” means a beneficial owner of our common units that:</w:t>
      </w:r>
    </w:p>
    <w:p>
      <w:pPr>
        <w:spacing w:after="0" w:line="131"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individual U.S. citizen or resident (as determined for U.S. federal income tax purposes),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classified as a corporation for U.S. federal income tax purposes) organized under the laws of the United States or any of its political subdivisions,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30" w:lineRule="exact"/>
        <w:rPr>
          <w:rFonts w:ascii="Times New Roman" w:cs="Times New Roman" w:eastAsia="Times New Roman" w:hAnsi="Times New Roman"/>
          <w:sz w:val="18"/>
          <w:szCs w:val="18"/>
          <w:color w:val="auto"/>
        </w:rPr>
      </w:pPr>
    </w:p>
    <w:p>
      <w:pPr>
        <w:jc w:val="both"/>
        <w:ind w:left="1080" w:right="3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“United States persons” (as defined in the Code) have the authority to control all substantial decisions of the trust or (ii) the trust has a valid election in effect under current U.S. Treasury Regulations to be treated as a “United States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below of the rules applicable to a passive foreign investment company (a “PFIC”), any distributions to a U.S. Holder made by us with respect to our common units generally will constitute dividends, which will be taxable as ordinary income or “qualified dividend income” as described in more detail below, to the extent of our current and accumulated earnings and profits, as determined under U.S. federal income tax principles. Distributions in excess of our current and accumulated earnings and profits will be treated first as a non-taxable return of capital to the extent of the U.S. Holder’s tax basis in its common units on a dollar-for-dollar basis, and thereafter as capital gain, which will be either long-term or short-term capital gain depending upon whether the U.S. Holder held the common units for more than one year.</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U.S. Holders that are corporations generally will not be entitled to claim a dividends received deduction with respect to distributions they receive from us. Dividends received with respect to the common units will be treated as foreign source income and generally will be treated as “passive category income” for U.S. foreign tax credit purposes.</w:t>
      </w:r>
    </w:p>
    <w:p>
      <w:pPr>
        <w:spacing w:after="0" w:line="176"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Dividends received with respect to our common units by a U.S. Holder who is an individual, trust or estate (a “non-corporate U.S. Holder”) generally will be treated as “qualified dividend income” that is taxable to such non-corporate U.S. Holder at preferential capital gain tax rates, provided that: (i) subject to the possibility that our common units may be delisted by a qualifying exchange, our common units are traded on an “established securities market” in the United States (such as the NYSE where our common units are traded) and are “readily tradeable” on such an exchange; (ii) we are not a PFIC for the taxable year during which the dividend is paid or the immediately preceding taxable year (which we do not believe we are, have been or will be, as discussed below); (iii) the non-corporate U.S. Holder has owned the common units for more than 60 days during the 121-day period beginning 60 days before the date on which the common units become ex-dividend (and has not entered into certain risk limiting transactions with respect to such common units); and (iv) the non-corporate U.S. Holder is not under an obligation to make related payments with respect to positions in substantially similar or related property. Any dividends paid on our common units that are not eligible for these preferential rates will be taxed as ordinary income to a non-corporate U.S. Holder. In addition, a 3.8% tax may apply to certain investment income. See “Medicare Tax” below.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Special rules may apply to any amounts received in respect of our common units that are treated as “extraordinary dividends”. In general, an extraordinary dividend is a dividend with respect to a common unit that is equal to or in excess of 10.0% of a U.S. Holder’s adjusted tax basis (or fair market value upon the U.S. Holder’s election) in such common unit. In addition, extraordinary dividends include dividends received within a one-year period that, in the aggregate, equal or exceed 20.0% of a U.S. Holder’s adjusted tax basis (or fair market value) in a common unit. If we pay an “extraordinary dividend” on our common units that is treated as “qualified dividend income,” then any loss recognized by a non-corporate U.S. Holder from the sale or exchange of such common units will be treated as long-term capital loss to the extent of the amount of such dividend.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Disposition of Common Units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 of PFICs below, a U.S. Holder generally will recognize capital gain or loss upon a sale, exchange or other disposition of our common units in an amount equal to the difference between the amount realized by the U.S. Holder from such sale, exchange or other disposition and the U.S. Holder’s adjusted tax basis in such units. The U.S. Holder’s initial tax basis in the common units generally will be the U.S. Holder’s purchase price for the common units and that tax basis will be reduced (but not below zero) by the amount of any distributions on the common units that are treated as non-taxable returns of capital (as discussed under “Distributions” above). Such gain or loss will be treated as long-term capital gain or loss if the U.S. Holder’s holding period is greater than one year at the time of the sale, exchange or other disposition.</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 corporate U.S. Holder’s capital gains, long-term and short-term, are taxed at ordinary income tax rates. If a corporate U.S. Holder recognizes a loss upon the disposition of our common units, such U.S. Holder is limited to using the loss to offset other capital gain. If a corporate U.S. Holder has no other capital gain in the tax year of the loss, it may carry the capital loss back three years and forward five years.</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Long-term capital gains of non-corporate U.S. Holders are subject to the favorable tax rate of a maximum of 20%. In addition, a 3.8% tax may apply to certain investment income. See “Medicare Tax” below. A non-corporate U.S. Holder may deduct a capital loss resulting from a disposition of our common units to the extent of capital gains plus up to $3,000 ($1,500 for married individuals filing separate tax returns) annually and may carry forward a capital loss indefinitely.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PFIC Status and Significant Tax Consequences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we will be treated as a PFIC with respect to a U.S. Holder if, for any taxable year in which the holder held our common units, either:</w:t>
      </w:r>
    </w:p>
    <w:p>
      <w:pPr>
        <w:spacing w:after="0" w:line="131" w:lineRule="exact"/>
        <w:rPr>
          <w:sz w:val="20"/>
          <w:szCs w:val="20"/>
          <w:color w:val="auto"/>
        </w:rPr>
      </w:pPr>
    </w:p>
    <w:p>
      <w:pPr>
        <w:ind w:left="1080" w:right="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75.0% of our gross income (including the gross income of our vessel-owning subsidiaries) for such taxable year consists of passive income (e.g., dividends, interest, capital gains and rents derived other than in the active conduct of a rental business),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50.0% of the average value of the assets held by us (including the assets of our vessel-owning subsidiaries) (based on an average of the quarterly values of the assets during a taxable year) produce, or are held for the production of, passive income.</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Income earned, or deemed earned, by us in connection with the performance of services would not constitute passive income. By contrast, rental income generally would constitute “passive income” unless we were treated as deriving our rental income in the active conduct of a trade or business under the applicable rules.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Based on our current and projected methods of operations, and an opinion of counsel, we believe that we will not be a PFIC with respect to any taxable year. Our U.S. counsel, Thompson Hine LLP, is of the opinion that (1) the income we receive from the time chartering activities and assets engaged in generating such income should not be treated as passive income or assets, respectively, and (2) so long as our income from time charters exceeds 25.0% of our gross income for each taxable year after our initial taxable year and the value of our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vessels contracted under time charters exceeds 50.0% of the average value of our assets for each taxable year after our initial taxable year, we should not be a PFIC. This opinion is based on representations and projections provided to our counsel by us regarding our assets, income and charters, and its validity is conditioned on the accuracy of such representations and projections.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counsel’s opinion is based principally on their conclusion that, for purposes of determining whether we are a PFIC, the gross income we derive or are deemed to derive from the time chartering activities of our wholly-owned subsidiaries should constitute services income, rather than rental income. Correspondingly, such income should not constitute passive income, and the assets that we or our subsidiaries own and operate in connection with the production of such income, in particular, the vessels we or our subsidiaries own that are subject to time charters, should not constitute passive assets for purposes of determining whether we are or have been a PFIC. We expect that all of the vessels in our fleet will be engaged in time chartering activities and intend to treat our income from those activities as non-passive income, and the vessels engaged in those activities as non-passive assets, for PFIC purposes.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Our counsel has advised us that there is a significant amount of legal authority consisting of the Code, legislative history, IRS pronouncements and rulings supporting our position that the income from our time chartering activities constitutes services income (rather than rental income). There is, however, no direct legal authority under the PFIC rules addressing whether income from time chartering activities is services income or rental income. Moreover, in a case not interpreting the PFIC rules, </w:t>
      </w:r>
      <w:r>
        <w:rPr>
          <w:rFonts w:ascii="Times New Roman" w:cs="Times New Roman" w:eastAsia="Times New Roman" w:hAnsi="Times New Roman"/>
          <w:sz w:val="18"/>
          <w:szCs w:val="18"/>
          <w:i w:val="1"/>
          <w:iCs w:val="1"/>
          <w:color w:val="auto"/>
        </w:rPr>
        <w:t>Tidewater Inc. v. United States</w:t>
      </w:r>
      <w:r>
        <w:rPr>
          <w:rFonts w:ascii="Times New Roman" w:cs="Times New Roman" w:eastAsia="Times New Roman" w:hAnsi="Times New Roman"/>
          <w:sz w:val="18"/>
          <w:szCs w:val="18"/>
          <w:color w:val="auto"/>
        </w:rPr>
        <w:t>, 565 F.3d 299 (5th Cir. 2009), the Fifth Circuit held that the vessel time charters at issue generated predominantly rental income rather than services income. However, the IRS stated in an Action on Decision (AOD</w:t>
      </w:r>
    </w:p>
    <w:p>
      <w:pPr>
        <w:spacing w:after="0" w:line="3" w:lineRule="exact"/>
        <w:rPr>
          <w:sz w:val="20"/>
          <w:szCs w:val="20"/>
          <w:color w:val="auto"/>
        </w:rPr>
      </w:pPr>
    </w:p>
    <w:p>
      <w:pPr>
        <w:jc w:val="both"/>
        <w:ind w:left="120" w:right="160"/>
        <w:spacing w:after="0" w:line="255" w:lineRule="auto"/>
        <w:rPr>
          <w:sz w:val="20"/>
          <w:szCs w:val="20"/>
          <w:color w:val="auto"/>
        </w:rPr>
      </w:pPr>
      <w:r>
        <w:rPr>
          <w:rFonts w:ascii="Times New Roman" w:cs="Times New Roman" w:eastAsia="Times New Roman" w:hAnsi="Times New Roman"/>
          <w:sz w:val="18"/>
          <w:szCs w:val="18"/>
          <w:color w:val="auto"/>
        </w:rPr>
        <w:t xml:space="preserve">2010-001) that it disagrees with, and will not acquiesce to, the way that the rental versus services framework was applied to the facts in the </w:t>
      </w:r>
      <w:r>
        <w:rPr>
          <w:rFonts w:ascii="Times New Roman" w:cs="Times New Roman" w:eastAsia="Times New Roman" w:hAnsi="Times New Roman"/>
          <w:sz w:val="18"/>
          <w:szCs w:val="18"/>
          <w:i w:val="1"/>
          <w:iCs w:val="1"/>
          <w:color w:val="auto"/>
        </w:rPr>
        <w:t>Tidewater</w:t>
      </w:r>
      <w:r>
        <w:rPr>
          <w:rFonts w:ascii="Times New Roman" w:cs="Times New Roman" w:eastAsia="Times New Roman" w:hAnsi="Times New Roman"/>
          <w:sz w:val="18"/>
          <w:szCs w:val="18"/>
          <w:color w:val="auto"/>
        </w:rPr>
        <w:t xml:space="preserve"> decision, and in its discussion stated that the time charters at issue in Tidewater would be treated as producing services income for PFIC purposes. The IRS’s AOD, however, is an administrative action that cannot be relied upon or otherwise cited as precedent by taxpayers.</w:t>
      </w:r>
    </w:p>
    <w:p>
      <w:pPr>
        <w:spacing w:after="0" w:line="18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opinion of our counsel is not binding on the IRS or any court. Thus, while we have received an opinion of our counsel in support of our position, there is a possibility that the IRS or a court could disagree with this position and the opinion of our counsel. In addition, although we intend to conduct our affairs in a manner to avoid being classified as a PFIC with respect to any taxable year, we cannot assure you that the nature of our operations will not change in the future.</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As discussed more fully below, if we were to be treated as a PFIC for any taxable year in which a U.S. Holder owned our common units, the U.S. Holder would be subject to different taxation rules depending on whether the U.S. Holder makes an election to treat us as a “Qualified Electing Fund,” which we refer to as a “QEF election”. As an alternative to making a QEF election, the U.S. Holder may be able to make a “mark-to-market” election with respect to our common units, as discussed below. In addition, if we were treated as a PFIC for any taxable year in which a U.S. Holder owned our common units, the U.S. Holder would be required to file IRS Form 8621 with the U.S. Holder’s U.S. federal income tax return for each year to report the U.S. Holder’s ownership of such common units. In the event a U.S. Holder does not file IRS Form 8621, the statute of limitations on the assessment and collection of U.S. federal income taxes of such U.S. Holder for the related tax year will not close before the date that is three years after the date on which such report is filed.</w:t>
      </w:r>
    </w:p>
    <w:p>
      <w:pPr>
        <w:spacing w:after="0" w:line="192"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It should also be noted that, if we were treated as a PFIC for any taxable year in which a U.S. Holder owned our common units and any of our non-U.S. subsidiaries were also a PFIC, the U.S. Holder would be treated as owning a proportionate amount (by value) of the shares of the lower-tier PFIC for purposes of the application of these rules.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 Making a Timely QEF Election</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If we were to be treated as a PFIC for any taxable year, and a U.S. Holder makes a timely QEF election (any such U.S. Holder, an “Electing Holder”), the Electing Holder must report for U.S. federal income tax purposes 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pro rata share of our ordinary earnings and net capital gain, if any, for our taxable year that ends with or within the Electing Holder’s taxable year, regardless of whether or not the Electing Holder received any distributions from us in that year. Such income inclusions would not be eligible for the preferential tax rates applicable to “qualified dividend income”. The Electing Holder’s adjusted tax basis in our common units will be increased to reflect taxed but undistributed earnings and profits. Distributions to the Electing Holder of our earnings and profits that were previously taxed will result in a corresponding reduction in the Electing Holder’s adjusted tax basis in our common units and will not be taxed again once distributed. The Electing Holder would not, however, be entitled to a deduction for its pro rata share of any losses that we incur with respect to any year. An Electing Holder generally will recognize capital gain or loss on the sale, exchange or other disposition of our common units.</w:t>
      </w:r>
    </w:p>
    <w:p>
      <w:pPr>
        <w:spacing w:after="0" w:line="18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Even if a U.S. Holder makes a QEF election for one of our taxable years, if we were a PFIC for a prior taxable year during which the U.S. Holder owned our common units and for which the U.S. Holder did not make a timely QEF election, the U.S. Holder would also be subject to the more adverse rules described below under “Taxation of U.S. Holders Not Making a Timely QEF or Mark-to-Market Election”. However, under certain circumstances, a U.S. Holder may be permitted to make a retroactive QEF election with respect to us for any open taxable years in the U.S. Holder’s holding period for our common units in which we are treated as a PFIC. Additionally, to the extent that any of our subsidiaries is a PFIC, a U.S. Holder’s QEF election with respect to us would not be effective with respect to the U.S. Holder’s deemed ownership of the stock of such subsidiary and a separate QEF election with respect to such subsidiary would be required.</w:t>
      </w:r>
    </w:p>
    <w:p>
      <w:pPr>
        <w:spacing w:after="0" w:line="189" w:lineRule="exact"/>
        <w:rPr>
          <w:sz w:val="20"/>
          <w:szCs w:val="20"/>
          <w:color w:val="auto"/>
        </w:rPr>
      </w:pPr>
    </w:p>
    <w:p>
      <w:pPr>
        <w:ind w:left="120" w:right="340" w:firstLine="440"/>
        <w:spacing w:after="0" w:line="277" w:lineRule="auto"/>
        <w:rPr>
          <w:sz w:val="20"/>
          <w:szCs w:val="20"/>
          <w:color w:val="auto"/>
        </w:rPr>
      </w:pPr>
      <w:r>
        <w:rPr>
          <w:rFonts w:ascii="Times New Roman" w:cs="Times New Roman" w:eastAsia="Times New Roman" w:hAnsi="Times New Roman"/>
          <w:sz w:val="17"/>
          <w:szCs w:val="17"/>
          <w:color w:val="auto"/>
        </w:rPr>
        <w:t>A U.S. Holder makes a QEF election with respect to any year that we are a PFIC by filing IRS Form 8621 with the U.S. Holder’s U.S. federal income tax return. If, contrary to our expectations, we were to determine that we are treated as a PFIC for any taxable year, we would notify all U.S. Holders and would provide all necessary information to any U.S. Holder that requests such information in order to make the QEF election described above with respect to us and the relevant subsidiaries. A QEF election would not apply to any taxable year for which we are not a PFIC, but would remain in effect with respect to any subsequent taxable year for which we are a PFIC, unless the IRS consents to the revocation of the election.</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 Making a “Mark-to-Market” Election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we were to be treated as a PFIC for any taxable year and, subject to the possibility that our common units may be delisted by a qualifying exchange, our common units were treated as “marketable stock,” then, as an alternative to making a QEF election, a U.S. Holder would be allowed to make a “mark-to-market” election with respect to our common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common units at the end of the taxable year over the holder’s adjusted tax basis in the common units. The U.S. Holder also would be permitted an ordinary loss in respect of the excess, if any, of the U.S. Holder’s adjusted tax basis in the common units over the fair market value thereof at the end of the taxable year, but only to the extent of the net amount previously included in income as a result of the mark-to-market election. A U.S. Holder’s tax basis in the U.S. Holder’s common units would be adjusted to reflect any such income or loss recognized. Gain recognized on the sale, exchange or other disposition of our common units would be treated as ordinary income, and any loss recognized on the sale, exchange or other disposition of the common units would be treated as ordinary loss to the extent that such loss does not exceed the net mark-to-market gains previously included in income by the U.S. Holder. A mark-to-market election would not apply to our common units owned by a U.S. Holder in any taxable year during which we are not a PFIC, but would remain in effect with respect to any subsequent taxable year for which we are a PFIC, unless our common units are no longer treated as “marketable stock” or the IRS consents to the revocation of the election.</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Even if a U.S. Holder makes a “mark-to-market” election for one of our taxable years, if we were a PFIC for a prior taxable during which the U.S. Holder owned our common units and for which the U.S. Holder did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make a timely mark-to-market election, the U.S. Holder would also be subject to the more adverse rules described below under “Taxation of U.S. Holders Not Making a Timely QEF or Mark-to-Market Election”. Additionally, to the extent that any of our subsidiaries is a PFIC, a “mark-to-market” election with respect to our common units would not apply to the U.S. Holder’s deemed ownership of the stock of such subsidiary.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Taxation of U.S. Holders Not Making a Timely QEF or Mark-to-Market Election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we were to be treated as a PFIC for any taxable year, a U.S. Holder who does not make either a timely QEF election or a timely “mark-to-market” election for that year (i.e., the taxable year in which the U.S. Holder’s holding period commences), whom we refer to as a “Non-Electing Holder,” would be subject to special rules resulting in increased tax liability with respect to (1) any excess distribution (i.e. the portion of any distributions received by the Non-Electing Holder on our common units in a taxable year in excess of 125.0% of the average annual distributions received by the Non-Electing Holder in the three preceding taxable years, or, if shorter, the Non-Electing Holder’s holding period for the common units), and (2) any gain realized on the sale, exchange or other disposition of our common units. Under these special rules:</w:t>
      </w:r>
    </w:p>
    <w:p>
      <w:pPr>
        <w:spacing w:after="0" w:line="93" w:lineRule="exact"/>
        <w:rPr>
          <w:sz w:val="20"/>
          <w:szCs w:val="20"/>
          <w:color w:val="auto"/>
        </w:rPr>
      </w:pPr>
    </w:p>
    <w:p>
      <w:pPr>
        <w:ind w:left="1080" w:right="18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and any gain would be allocated ratably over the Non-Electing Holder’s aggregate holding period for the common units;</w:t>
      </w:r>
    </w:p>
    <w:p>
      <w:pPr>
        <w:spacing w:after="0" w:line="67" w:lineRule="exact"/>
        <w:rPr>
          <w:rFonts w:ascii="Times New Roman" w:cs="Times New Roman" w:eastAsia="Times New Roman" w:hAnsi="Times New Roman"/>
          <w:sz w:val="18"/>
          <w:szCs w:val="18"/>
          <w:color w:val="auto"/>
        </w:rPr>
      </w:pPr>
    </w:p>
    <w:p>
      <w:pPr>
        <w:ind w:left="1080" w:right="840" w:hanging="424"/>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year prior to the year we were first treated as a PFIC with respect to the Non-Electing Holder would be taxed as ordinary income; and</w:t>
      </w:r>
    </w:p>
    <w:p>
      <w:pPr>
        <w:spacing w:after="0" w:line="67"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76" w:lineRule="exact"/>
        <w:rPr>
          <w:sz w:val="20"/>
          <w:szCs w:val="20"/>
          <w:color w:val="auto"/>
        </w:rPr>
      </w:pPr>
    </w:p>
    <w:p>
      <w:pPr>
        <w:jc w:val="both"/>
        <w:ind w:left="120" w:right="420" w:firstLine="440"/>
        <w:spacing w:after="0" w:line="261" w:lineRule="auto"/>
        <w:rPr>
          <w:sz w:val="20"/>
          <w:szCs w:val="20"/>
          <w:color w:val="auto"/>
        </w:rPr>
      </w:pPr>
      <w:r>
        <w:rPr>
          <w:rFonts w:ascii="Times New Roman" w:cs="Times New Roman" w:eastAsia="Times New Roman" w:hAnsi="Times New Roman"/>
          <w:sz w:val="18"/>
          <w:szCs w:val="18"/>
          <w:color w:val="auto"/>
        </w:rPr>
        <w:t>If we were treated as a PFIC for any taxable year and a Non-Electing Holder who is an individual dies while owning our common units, such holder’s successor generally would not receive a step-up in tax basis with respect to such common units. Additionally, to the extent that any of our subsidiaries is a PFIC, the foregoing consequences would apply to the U.S. Holder’s deemed receipt of any excess distribution on, or gain deemed realized on the disposition of, the stock of such subsidiary deemed owned by the U.S. Holder.</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January 2022, the U.S. Department of Treasury issued proposed regulations concerning PFICs. If the proposed regulations are finalized, they may affect eligibility requirements to make a QEF election or a mark-to-market election.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Controlled Foreign Corporation</w:t>
      </w:r>
    </w:p>
    <w:p>
      <w:pPr>
        <w:spacing w:after="0" w:line="121" w:lineRule="exact"/>
        <w:rPr>
          <w:sz w:val="20"/>
          <w:szCs w:val="20"/>
          <w:color w:val="auto"/>
        </w:rPr>
      </w:pPr>
    </w:p>
    <w:p>
      <w:pPr>
        <w:ind w:left="120" w:right="100" w:firstLine="440"/>
        <w:spacing w:after="0" w:line="272" w:lineRule="auto"/>
        <w:rPr>
          <w:sz w:val="20"/>
          <w:szCs w:val="20"/>
          <w:color w:val="auto"/>
        </w:rPr>
      </w:pPr>
      <w:r>
        <w:rPr>
          <w:rFonts w:ascii="Times New Roman" w:cs="Times New Roman" w:eastAsia="Times New Roman" w:hAnsi="Times New Roman"/>
          <w:sz w:val="17"/>
          <w:szCs w:val="17"/>
          <w:color w:val="auto"/>
        </w:rPr>
        <w:t>If a U.S. Holder owns directly, indirectly or constructively (under Section 318 of the Code) at least 10% of the voting power or value of shares of a foreign corporation, such U.S. person is considered a “U.S. Shareholder” with respect to the foreign corporation. If U.S. Shareholders, in the aggregate, own more than 50% of the voting power or value of the shares of such corporation, the foreign corporation will be classified as a CFC. Additionally, for tax years beginning on or before December 31, 2025, even absent U.S. Shareholders with direct or indirect interests in a foreign corporation, a U.S. subsidiary of the Company alone may cause certain related foreign corporations to be treated as CFCs by reason of certain “downward attribution” rules. Effective for taxable years of foreign corporations beginning after December 31, 2025, downward attribution from a foreign person to its non-U.S. subsidiaries for purposes of determining U.S. Shareholder and CFC status is generally prohibited. We believe that Navios Partners was not a CFC as of December 31, 2025 or at any time during 2025, and we do not expect to become a CFC in a subsequent taxable year.</w:t>
      </w:r>
    </w:p>
    <w:p>
      <w:pPr>
        <w:spacing w:after="0" w:line="17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However, given that we are publicly held, the constructive ownership rules under section 318 of the Code may make it difficult to determine whether any U.S. person is a 10% U.S. Shareholder of ours and our non-U.S.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subsidiaries and whether we or any of our non-U.S. subsidiaries are CFCs. Nevertheless, in the event the Company establishes one or more U.S. subsidiaries, the Company’s non-U.S. subsidiaries generally are not expected to be treated as for taxable years beginning after December 31, 2025 solely as a result of the Company’s ownership of any U.S. subsidiaries.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U.S. federal income tax consequences of U.S. Holders who at all times own less than 10% of our equity, directly, indirectly, and constructively, should not be affected even if we (and our non-U.S. subsidiaries) become a CFC. However, if we (and our non-U.S. subsidiaries) become a CFC, any U.S. Holder who owns 10% or more of our equity (by vote or value), directly or indirectly, should be subject to U.S. federal income tax on a current basis on its pro rata share of our (and our non-U.S. subsidiary’s) so-called “subpart F” income, “net controlled foreign corporation tested income” (“NCTI”) (known as “global intangible low-taxed income” (“GILTI”) before changes to the Code introduced in 2025), and any investment in earnings in U.S. property, regardless of whether or not the CFC makes any distributions, in addition to being subject to U.S. federal income tax reporting requirements. In addition, a gain (or a portion of such gain) realized on CFC shares sold by a U.S. Shareholder (during the period that a corporation is a CFC and thereafter for a five-year period) may be treated as ordinary income depending on certain facts.</w:t>
      </w:r>
    </w:p>
    <w:p>
      <w:pPr>
        <w:spacing w:after="0" w:line="19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Income from our time chartering activities could constitute subpart F income if it were derived from passive rental activities. But, Thompson Hine’s opinion that the income we earn from our time chartering activities should not be treated as passive income is based principally on their conclusion that such income should constitute services income, rather than rental income (see U.S. Federal Income Taxation of U.S. Holders—PFIC Status and Significant Tax Consequences). Although we believe that the income we earn from our time chartering activities should not be treated as subpart F income, such U.S. Holder may be subject to U.S. federal income tax on such income under the NCTI/GILTI rules.</w:t>
      </w:r>
    </w:p>
    <w:p>
      <w:pPr>
        <w:spacing w:after="0" w:line="183"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If contrary to our belief discussed above, the income we earn from our time chartering activities were treated as subpart F income, it is unclear whether such income would nonetheless be exempted from U.S. federal income tax for so long as we qualify for the Section 883 exemption (see “Item</w:t>
      </w:r>
    </w:p>
    <w:p>
      <w:pPr>
        <w:spacing w:after="0" w:line="1" w:lineRule="exact"/>
        <w:rPr>
          <w:sz w:val="20"/>
          <w:szCs w:val="20"/>
          <w:color w:val="auto"/>
        </w:rPr>
      </w:pPr>
    </w:p>
    <w:p>
      <w:pPr>
        <w:ind w:left="120" w:right="180" w:hanging="4"/>
        <w:spacing w:after="0" w:line="255" w:lineRule="auto"/>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Partnership – B. Business Overview—Taxation of the Partnership—The Section 883 Exemption”). In this regard, the IRS has taken the position in Revenue Ruling 87-15 that the Section 883 exemption does not cause subpart F income to be exempted from U.S. federal income tax.</w:t>
      </w:r>
    </w:p>
    <w:p>
      <w:pPr>
        <w:spacing w:after="0" w:line="18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cannot provide any assurances that it will assist investors in determining whether it or any of its non-U.S. subsidiaries is treated as a CFC or whether any investor is treated as a U.S. Shareholder with respect to any such CFC or furnish to any U.S. Shareholders information that may be necessary to comply with the aforementioned reporting and tax paying obligations. Any U.S. Holder of Navios Partners that owns 10% or more (by vote or value), directly or indirectly, of the equity of Navios Partners should consult its own tax advisor regarding the U.S. federal tax consequences that may result from Navios Partners (and its non-U.S. subsidiaries) being treated as a CFC.</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Medicare Tax</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 U.S. Holder that is an individual or estate, or a trust that does not fall into a special class of trusts that is exempt from such tax, will generally be subject to a 3.8% tax on the lesser of (i) the U.S. Holder’s “net investment income” for a taxable year and (ii) the excess of the U.S. Holder’s modified adjusted gross income for such taxable year over $200,000 ($250,000 in the case of joint filers). For these purposes, “net investment income” will generally include dividends paid with respect to our common units and net gain attributable to the disposition of our common units not held in connection with certain trades or businesses, but will be reduced by any deductions properly allocable to such income or net gain.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Federal Income Taxation of Non-U.S. Holders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 beneficial owner of our common units (other than a partnership or an entity or arrangement treated as a partnership for U.S. federal income tax purposes) that is not a U.S. Holder is a “Non-U.S. Holder”.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(and a corporate Non-U.S. Holder may also be subject to U.S. federal branch profits tax). However, distributions paid to a Non-U.S. Holder who is engaged in a trade or business may be exempt from taxation under an income tax treaty if the income arising from the distribution is not attributable to a U.S. permanent establishment maintained by the Non-U.S. 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Units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general, a Non-U.S. Holder will not be subject to U.S. federal income tax or withholding tax on any gain resulting from the disposition of our common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common units if they are present in the United States for 183 days or more during the taxable year in which those units are disposed and meet certain other requirements.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general, payments to a non-corporate U.S. Holder of distributions or the proceeds of a disposition of common units may be subject to information reporting. These payments to a non-corporate U.S. Holder also may be subject to backup withholding (currently at a rate of 24%), if the non-corporate U.S. Holder:</w:t>
      </w:r>
    </w:p>
    <w:p>
      <w:pPr>
        <w:spacing w:after="0" w:line="81"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he has failed to report all interest or corporate distributions required to be reported on his U.S. federal income tax returns;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U.S. Holder generally is required to certify its compliance with the backup withholding rules on IRS Form W-9.</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Non-U.S. Holders may be required to establish their exemption from information reporting and backup withholding by certifying their status on IRS Form W-8BEN, W-8BEN-E, W-8ECI or W-8IMY, as applicable.</w:t>
      </w:r>
    </w:p>
    <w:p>
      <w:pPr>
        <w:spacing w:after="0" w:line="162" w:lineRule="exact"/>
        <w:rPr>
          <w:sz w:val="20"/>
          <w:szCs w:val="20"/>
          <w:color w:val="auto"/>
        </w:rPr>
      </w:pPr>
    </w:p>
    <w:p>
      <w:pPr>
        <w:ind w:left="120" w:right="60" w:firstLine="440"/>
        <w:spacing w:after="0" w:line="312" w:lineRule="auto"/>
        <w:rPr>
          <w:sz w:val="20"/>
          <w:szCs w:val="20"/>
          <w:color w:val="auto"/>
        </w:rPr>
      </w:pPr>
      <w:r>
        <w:rPr>
          <w:rFonts w:ascii="Times New Roman" w:cs="Times New Roman" w:eastAsia="Times New Roman" w:hAnsi="Times New Roman"/>
          <w:sz w:val="17"/>
          <w:szCs w:val="17"/>
          <w:color w:val="auto"/>
        </w:rPr>
        <w:t>Backup withholding is not an additional tax. Rather, a unitholder generally may obtain a credit for any amount withheld against his liability for U.S. federal income tax (and obtain a refund of any amounts withheld in excess of such liability) by filing a U.S. federal income tax return with the IRS.</w:t>
      </w:r>
    </w:p>
    <w:p>
      <w:pPr>
        <w:spacing w:after="0" w:line="14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Individual U.S. Holders (and to the extent specified in applicable U.S. Treasury Regulations, certain individual Non-U.S. Holders and certain U.S. Holders that are entities) that hold “specified foreign financial assets,” including our common units, whose aggregate value exceeds $75,000 at any time during the taxable year or $50,000 on the last day of the taxable year (or such higher amounts as prescribed by applicable U.S. Treasury Regulations) are required to file a report on IRS Form 8938 with information relating to the assets for each such taxable year. Specified foreign financial assets would include, among other things, our common units, unless such common units are held in an account maintained by a U.S. “financial institution” (as defined). Substantial penalties apply for any failure to timely file IRS Form 8938, unless the failure is shown to be due to reasonable cause and not due to willful neglect. Additionally, in the event an individual U.S. Holder (and to the extent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specified in applicable U.S. Treasury Regulations, an individual Non-U.S. Holder or a U.S. entity) that is required to file IRS Form 8938 does not file such form, the statute of limitations on the assessment and collection of U.S. federal income taxes of such holder for the related tax year may not close until three years after the date that the required information is filed. U.S. Holders (including U.S. entities) and Non-U.S. Holders should consult their own tax advisors regarding their reporting obligations.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NON-UNITED STATES TAX CONSIDERATIONS</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MARSHALL ISLANDS TAX CONSIDERATIONS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Marshall Islands Tax Consequences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discussion is based upon the opinion of Reeder &amp; Simpson, P.C.,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Because we and our subsidiaries do not and do not expect to conduct business or operations in the Republic of the Marshall Islands, under current Marshall Islands law you will not be subject to Marshall Islands taxation or withholding on distributions, including upon distribution treated as a return of capital, we make to you as a unitholder. In addition, you will not be subject to Marshall Islands stamp, capital gains or other taxes on the purchase, ownership or disposition of common units, and you will not be required by the Republic of the Marshall Islands to file a tax return relating to your ownership of common units.</w:t>
      </w:r>
    </w:p>
    <w:p>
      <w:pPr>
        <w:spacing w:after="0" w:line="179" w:lineRule="exact"/>
        <w:rPr>
          <w:sz w:val="20"/>
          <w:szCs w:val="20"/>
          <w:color w:val="auto"/>
        </w:rPr>
      </w:pPr>
    </w:p>
    <w:p>
      <w:pPr>
        <w:ind w:left="120" w:right="7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EACH UNITHOLDER IS URGED TO CONSULT HIS OWN TAX, LEGAL AND OTHER ADVISORS REGARDING THE CONSEQUENCES OF OWNERSHIP OF COMMON UNITS UNDER THE UNITHOLDER’S PARTICULAR CIRCUMSTANCES.</w:t>
      </w:r>
    </w:p>
    <w:p>
      <w:pPr>
        <w:spacing w:after="0" w:line="6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60"/>
          </w:cols>
          <w:pgMar w:left="320" w:top="455" w:right="5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Reeder &amp; Simpson, P.C., Marshall Islands counsel, will provide us with an opinion as to the legal matters in connection with the securities we are offering. Unless otherwise specified in a prospectus supplement, the validity of the debt securities will be passed upon for us by Thompson Hine LLP. In connection with particular offerings of debt securities in the future, the validity of those debt securities also may be passed upon for any underwriters or agents by counsel named in the applicable prospectus supplement.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CHANGES</w:t>
      </w:r>
    </w:p>
    <w:p>
      <w:pPr>
        <w:spacing w:after="0" w:line="22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Except as otherwise described in our Annual Report, in our reports of foreign issuer on Form 6-K filed or furnished under the Exchange Act and incorporated by reference herein, and as disclosed in this prospectus or an applicable prospectus supplement, no reportable material changes have occurred since December 31, 2025.</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Navios Maritime Partners L.P. appearing in Navios Maritime Partners L.P.’s Annual Report, and the effectiveness of Navios Maritime Partners L.P.’s internal control over financial reporting as of December 31, 2025, have been audited by Ernst &amp; Young (Hellas) Certified Auditors Accountants S.A., independent registered public accounting firm, as set forth in their reports thereon, included therein, and incorporated herein by reference. Such consolidated financial statements and Navios Maritime Partners L.P.’s management’s assessment of the effectiveness of internal control over financial reporting as of December 31, 2025, are incorporated herein by reference in reliance upon such reports given on the authority of such firm as experts in accounting and auditing.</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Ernst &amp; Young (Hellas) Certified Auditors Accountants S.A. is located at 8B Chimarras Street, 151 25, Maroussi, Athens, Greece and is registered as a corporate body with the public register for company auditors-accountants kept with the Body of Certified Auditors Accountants (“SOEL”), Greece with registration number 107.</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 named expert of or counselor to us was employed on a contingent basis, or owns an amount of our units (or those of our subsidiaries) which is material to that person, or has a material, direct or indirect economic interest in us or that depends on the success of the offering.</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main costs and expenses, other than the underwriting discounts and commissions and the financial advisory fee, in connection with this offering, which we will be required to pay.</w:t>
      </w:r>
    </w:p>
    <w:p>
      <w:pPr>
        <w:spacing w:after="0" w:line="20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Securities and Exchange Commission registration fee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$ 0.00^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Industry Regulatory Authority, Inc. filing fee</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NYSE listing fee</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23"/>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80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to be provided in a prospectus supplement or in a current report on Form 6-K subsequently incorporated by reference into this prospectus.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registered the offer and sale of securities having a maximum aggregate offering price of $500,000,000 pursuant to a registration statement on Form F-3 (File No. 333-271842) filed with the Securities and Exchange Commission on May 11, 2023 (the “Prior Registration Statement”). All $500,000,000 of such securities remain unsold (the “Unsold Securities”). Pursuant to Rule 415(a)(6) under the Securities Act, the Unsold Securities are being carried forward to the registration statement of which this prospectus forms a part, and no additional filing fee was due with respect to the Unsold Securities. Upon effectiveness of the registration statement of which this prospectus forms a part, the Prior Registration Statement is hereby replaced.</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information that we file with the SEC. This means that we can disclose important information to you without actually including the specific information in this prospectus by referring you to other documents filed separately with the SEC. The information incorporated by reference is an important part of this prospectus. Information that we later provide to the SEC, and which is deemed to be “filed” with the SEC, automatically will update information previously filed with the SEC, and may replace information in this prospectus.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incorporate by reference into this prospectus the documents listed below:</w:t>
      </w:r>
    </w:p>
    <w:p>
      <w:pPr>
        <w:spacing w:after="0" w:line="131"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Form 6-K for the quarter ended March 31, 2026, filed on </w:t>
      </w:r>
      <w:hyperlink r:id="rId59">
        <w:r>
          <w:rPr>
            <w:rFonts w:ascii="Times New Roman" w:cs="Times New Roman" w:eastAsia="Times New Roman" w:hAnsi="Times New Roman"/>
            <w:sz w:val="18"/>
            <w:szCs w:val="18"/>
            <w:u w:val="single" w:color="auto"/>
            <w:color w:val="0000EE"/>
          </w:rPr>
          <w:t>May 22, 2026</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20-F for the year ended December 31, 2025, filed on </w:t>
      </w:r>
      <w:hyperlink r:id="rId60">
        <w:r>
          <w:rPr>
            <w:rFonts w:ascii="Times New Roman" w:cs="Times New Roman" w:eastAsia="Times New Roman" w:hAnsi="Times New Roman"/>
            <w:sz w:val="18"/>
            <w:szCs w:val="18"/>
            <w:u w:val="single" w:color="auto"/>
            <w:color w:val="0000EE"/>
          </w:rPr>
          <w:t>March 12,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subsequent reports on Form 20-F shall be deemed to be incorporated by reference into this prospectus and deemed to be part hereof after the date of this prospectus but before the termination of the offering by this prospectus;</w:t>
      </w:r>
    </w:p>
    <w:p>
      <w:pPr>
        <w:spacing w:after="0" w:line="67" w:lineRule="exact"/>
        <w:rPr>
          <w:rFonts w:ascii="Times New Roman" w:cs="Times New Roman" w:eastAsia="Times New Roman" w:hAnsi="Times New Roman"/>
          <w:sz w:val="18"/>
          <w:szCs w:val="18"/>
          <w:color w:val="auto"/>
        </w:rPr>
      </w:pPr>
    </w:p>
    <w:p>
      <w:pPr>
        <w:jc w:val="both"/>
        <w:ind w:left="1080" w:right="2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reports on Form 6-K furnished to the SEC subsequent to the date of the initial registration statement and prior to effectiveness of the registration statement, and after the date of this prospectus, only to the extent that the forms expressly state that we incorporate them by reference in this prospectus;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units contained in our Registration Statement on Form 8-A filed on </w:t>
      </w:r>
      <w:hyperlink r:id="rId61">
        <w:r>
          <w:rPr>
            <w:rFonts w:ascii="Times New Roman" w:cs="Times New Roman" w:eastAsia="Times New Roman" w:hAnsi="Times New Roman"/>
            <w:sz w:val="18"/>
            <w:szCs w:val="18"/>
            <w:u w:val="single" w:color="auto"/>
            <w:color w:val="0000EE"/>
          </w:rPr>
          <w:t>November 7, 2007</w:t>
        </w:r>
      </w:hyperlink>
      <w:r>
        <w:rPr>
          <w:rFonts w:ascii="Times New Roman" w:cs="Times New Roman" w:eastAsia="Times New Roman" w:hAnsi="Times New Roman"/>
          <w:sz w:val="18"/>
          <w:szCs w:val="18"/>
          <w:color w:val="auto"/>
        </w:rPr>
        <w:t>, including any subsequent amendments or reports filed for the purpose of updating such description.</w:t>
      </w:r>
    </w:p>
    <w:p>
      <w:pPr>
        <w:spacing w:after="0" w:line="162" w:lineRule="exact"/>
        <w:rPr>
          <w:rFonts w:ascii="Times New Roman" w:cs="Times New Roman" w:eastAsia="Times New Roman" w:hAnsi="Times New Roman"/>
          <w:sz w:val="18"/>
          <w:szCs w:val="18"/>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herein shall be deemed to be modified or superseded for all purposes to the extent that a statement contained in this prospectus, or in any other subsequently filed document which is also incorporated or deemed to be incorporated by reference, modifies or supersedes such statement. Any statement so modified or superseded shall not be deemed, except as so modified or superseded, to constitute a part of this prospectus.</w:t>
      </w:r>
    </w:p>
    <w:p>
      <w:pPr>
        <w:spacing w:after="0" w:line="180" w:lineRule="exact"/>
        <w:rPr>
          <w:rFonts w:ascii="Times New Roman" w:cs="Times New Roman" w:eastAsia="Times New Roman" w:hAnsi="Times New Roman"/>
          <w:sz w:val="18"/>
          <w:szCs w:val="18"/>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will provide each person, including any beneficial owner, to whom a prospectus is delivered, a copy of any or all information that has been incorporated by reference into this prospectus, but not delivered with this prospectus. You may request, orally or in writing, a copy of these documents, which will be provided to you at no cost, by contacting:</w:t>
      </w:r>
    </w:p>
    <w:p>
      <w:pPr>
        <w:spacing w:after="0" w:line="17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Vasiliki (Villy) Papaefthymiou</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Secretary, Vice Chairwoman – Corporate Transactions</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Navios Maritime Partners L.P.</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 Navios Shipmanagement Inc.</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 Akti Miaouli</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Piraeus 18538, Greece</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(30) 2104595000</w:t>
      </w:r>
    </w:p>
    <w:p>
      <w:pPr>
        <w:spacing w:after="0" w:line="207" w:lineRule="exact"/>
        <w:rPr>
          <w:rFonts w:ascii="Times New Roman" w:cs="Times New Roman" w:eastAsia="Times New Roman" w:hAnsi="Times New Roman"/>
          <w:sz w:val="18"/>
          <w:szCs w:val="18"/>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prospectus supplement. We have not authorized anyone else to provide you with any information. You should not assume that the information incorporated by reference or provided in this prospectus or any prospectus supplement is accurate as of any date other than the date on the front of each document.</w:t>
      </w:r>
    </w:p>
    <w:p>
      <w:pPr>
        <w:spacing w:after="0" w:line="108"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Government Filings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required by the Securities Act, we filed a registration statement on Form F-3 relating to the securities offered by this prospectus with the SEC. This prospectus is a part of that registration statement, which includes additional information. You should refer to the registration statement and its exhibits for additional information. Whenever we make reference in this prospectus to any of our contracts, agreements or other documents, the references are not necessarily complete and you should refer to the exhibits attached to the registration statement for copies of the actual contract, agreements or other document.</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applicable to foreign private issuers. We, as a “foreign private issuer,” are exempt from the rules under the Exchange Act prescribing certain disclosure and procedural requirements for proxy solicitations, and our officers, directors and principal unitholders are exempt from the reporting and “short-swing” profit recovery provisions contained in Section 16 of the Exchange Act, with respect to their purchases and sales of common units. In addition, we are not required to file annual, quarterly and current reports and financial statements with the SEC as frequently or as promptly as United States companies whose securities are registered under the Exchange Act. However, we anticipate filing with the SEC, within four months after the end of each fiscal year, an annual report on Form 20-F containing consolidated financial statements audited by an independent accounting firm. We also anticipate furnishing quarterly reports on Form 6-K containing unaudited interim consolidated financial information for the first three quarters of each fiscal year, within two months after the end of such quarter.</w:t>
      </w:r>
    </w:p>
    <w:p>
      <w:pPr>
        <w:spacing w:after="0" w:line="19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You may read and copy any document we file or furnish with the SEC at the SEC’s Public Reference Room at 100 F Street, N.E., Washington, DC 20549. You may also obtain copies of the documents at prescribed rates by writing to the Public Reference Section of the SEC at 100 F Street, N.E., Washington, DC 20549. Please call the SEC at 1-800-SEC-0330 for further information on the operation of the public reference facilities. You can review our SEC filings and the registration statement by accessing the SEC’s internet site at http://www.sec.gov.</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provided by the Company</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will furnish holders of our common units with annual reports containing audited consolidated financial statements and corresponding reports by our independent registered public accounting firm, and intend to furnish quarterly reports containing selected unaudited consolidated financial data for the first three quarters of each fiscal year. The audited consolidated financial statements will be prepared in accordance with United States generally accepted accounting principles and those reports will include a “Operating and Financial Review and Prospects” section for the relevant periods. As a “foreign private issuer,” we were exempt from the rules under the Exchange Act prescribing the furnishing and content of proxy statements to unitholders. While we intend to furnish proxy statements to any shareholder in accordance with the rule of the NYSE, those proxy statements are not expected to conform to Schedule 14A of the proxy rules promulgated under the Exchange Act. In addition as a “foreign issuer,” we are exempt from the rules under the Exchange Act relating to short swing profit reporting and liability.</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is only part of a registration statement on Form F-3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 You may inspect a copy of the registration statement, including the exhibits and schedules:</w:t>
      </w:r>
    </w:p>
    <w:p>
      <w:pPr>
        <w:spacing w:after="0" w:line="85"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charge at the public reference room,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copy from the SEC upon payment of the fees prescribed by the SEC,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copy from the SEC’s web site or our web site.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AND</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07"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7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Most of our directors and the directors and officers of our General Partner and those of our subsidiaries are residents of countries other than the United States. Substantially all of our and our subsidiaries’ assets and a substantial portion of the assets of our directors and the directors and officers of our General Partner are located outside the United States. As a result, it may be difficult or impossible for United States investors to effect service of process within the United States upon us, our directors, our General Partner, our subsidiaries or the directors and officers of our General Partner or to realize against us or them judgments obtained in United States courts, including judgments predicated upon the civil liability provisions of the securities laws of the United States or any state in the United States. However, we have expressly submitted to the jurisdiction of the U.S. federal courts sitting in the City of New York for the purpose of any suit, action or proceeding arising under the securities laws of the United States or any state in the United States, and we have appointed the Trust Company of the Marshall Islands, Inc., Trust Company Complex, Ajeltake Island, P.O. Box 1405, Majuro, Marshall Islands MH96960, to accept service of process on our behalf in any such action.</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Reeder &amp; Simpson, P.C., our counsel as to Marshall Islands law, has advised us that there is uncertainty as to whether the courts of the Republic of the Marshall Islands would (1) recognize or enforce against us, our General Partner or our General Partner’s directors or officers judgments of courts of the United States based on civil liability provisions of applicable U.S. federal and state securities laws or (2) impose liabilities against us, our directors, our General Partner or our General Partner’s directors and officers in original actions brought in the Marshall Islands, based on these laws.</w:t>
      </w:r>
    </w:p>
    <w:p>
      <w:pPr>
        <w:spacing w:after="0" w:line="180"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have obtained directors’ and officers’ liability insurance against any liability asserted against such person incurred in the capacity of director or officer or arising out of such status, whether or not we would have the power to indemnify such person.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2"/>
    </w:lvl>
  </w:abstractNum>
  <w:abstractNum w:abstractNumId="2">
    <w:nsid w:val="257130A3"/>
    <w:multiLevelType w:val="hybridMultilevel"/>
    <w:lvl w:ilvl="0">
      <w:lvlJc w:val="left"/>
      <w:lvlText w:val="(%1)"/>
      <w:numFmt w:val="decimal"/>
      <w:start w:val="30"/>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4"/>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59" Type="http://schemas.openxmlformats.org/officeDocument/2006/relationships/hyperlink" Target="http://www.sec.gov/Archives/edgar/data/1415921/000119312526235615/nmm_6-k_q1_2026.htm" TargetMode="External"/><Relationship Id="rId60" Type="http://schemas.openxmlformats.org/officeDocument/2006/relationships/hyperlink" Target="http://www.sec.gov/ix?doc=/Archives/edgar/data/0001415921/000119312526104182/nmm-20251231.htm" TargetMode="External"/><Relationship Id="rId61" Type="http://schemas.openxmlformats.org/officeDocument/2006/relationships/hyperlink" Target="http://www.sec.gov/Archives/edgar/data/1415921/000095013607007517/file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2026-06-04T15:56:41Z</dcterms:created>
  <dcterms:modified xsi:type="dcterms:W3CDTF">2026-06-04T15:56:41Z</dcterms:modified>
</cp:coreProperties>
</file>