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Sasada Shunji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Navios Maritime Partners L.P.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NMM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NAVIOS SHIPMANAGEMENT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85 AKTI MIAOULI</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  J3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18538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2,566</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Vice Chairman - Commercial Operations Exhibit List - 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Todd Mason, by POA</w:t>
            </w:r>
          </w:p>
        </w:tc>
        <w:tc>
          <w:tcPr>
            <w:tcW w:w="2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5"/>
              </w:rPr>
              <w:t>from Shunji Sasada, Vice</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Chairman - Commercial</w:t>
            </w:r>
          </w:p>
        </w:tc>
        <w:tc>
          <w:tcPr>
            <w:tcW w:w="280" w:type="dxa"/>
            <w:vAlign w:val="bottom"/>
            <w:gridSpan w:val="3"/>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bottom w:val="single" w:sz="8" w:color="auto"/>
            </w:tcBorders>
            <w:gridSpan w:val="2"/>
            <w:vMerge w:val="continue"/>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Operations and Director</w:t>
            </w:r>
          </w:p>
        </w:tc>
        <w:tc>
          <w:tcPr>
            <w:tcW w:w="30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 FOR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 REPORTING PURPOSES</w:t>
      </w:r>
    </w:p>
    <w:p>
      <w:pPr>
        <w:spacing w:after="0" w:line="200" w:lineRule="exact"/>
        <w:rPr>
          <w:sz w:val="20"/>
          <w:szCs w:val="20"/>
          <w:color w:val="auto"/>
        </w:rPr>
      </w:pPr>
    </w:p>
    <w:p>
      <w:pPr>
        <w:spacing w:after="0" w:line="308" w:lineRule="exact"/>
        <w:rPr>
          <w:sz w:val="20"/>
          <w:szCs w:val="20"/>
          <w:color w:val="auto"/>
        </w:rPr>
      </w:pPr>
    </w:p>
    <w:p>
      <w:pPr>
        <w:jc w:val="both"/>
        <w:ind w:firstLine="729"/>
        <w:spacing w:after="0" w:line="241"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Matthew Leder, Kayla Tzanides, and Todd Mason, and Vasiliki Papaefthymiou, Sofia Tavla, Georgios Panagakis, Eleni Georgiou, Maria Vatmanidou, Aggeliki Kaperoni, Maria Trivela, Panagiotis Boumpouras of Navios Maritime Partners L.P. (the “Company”),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8" w:lineRule="exact"/>
        <w:rPr>
          <w:sz w:val="20"/>
          <w:szCs w:val="20"/>
          <w:color w:val="auto"/>
        </w:rPr>
      </w:pPr>
    </w:p>
    <w:p>
      <w:pPr>
        <w:jc w:val="both"/>
        <w:ind w:left="1460" w:hanging="731"/>
        <w:spacing w:after="0" w:line="238"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60" w:hanging="731"/>
        <w:spacing w:after="0" w:line="241"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60" w:hanging="731"/>
        <w:spacing w:after="0" w:line="245"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193" w:lineRule="exact"/>
        <w:rPr>
          <w:rFonts w:ascii="Times New Roman" w:cs="Times New Roman" w:eastAsia="Times New Roman" w:hAnsi="Times New Roman"/>
          <w:sz w:val="24"/>
          <w:szCs w:val="24"/>
          <w:color w:val="auto"/>
        </w:rPr>
      </w:pPr>
    </w:p>
    <w:p>
      <w:pPr>
        <w:jc w:val="both"/>
        <w:ind w:left="1460" w:hanging="731"/>
        <w:spacing w:after="0" w:line="245"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the Company, Forms 3, 4 and 5 relating to the Company in accordance with Section 16(a) of the Exchange Act the rules and regulations promulgated thereunder, and Forms 144 in accordance with Rule 144 under the Securities Act of 1933, as amended (the “Securities Act”);</w:t>
      </w:r>
    </w:p>
    <w:p>
      <w:pPr>
        <w:spacing w:after="0" w:line="193" w:lineRule="exact"/>
        <w:rPr>
          <w:rFonts w:ascii="Times New Roman" w:cs="Times New Roman" w:eastAsia="Times New Roman" w:hAnsi="Times New Roman"/>
          <w:sz w:val="24"/>
          <w:szCs w:val="24"/>
          <w:color w:val="auto"/>
        </w:rPr>
      </w:pPr>
    </w:p>
    <w:p>
      <w:pPr>
        <w:jc w:val="both"/>
        <w:ind w:left="1460" w:hanging="731"/>
        <w:spacing w:after="0" w:line="245"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w:t>
      </w:r>
    </w:p>
    <w:p>
      <w:pPr>
        <w:sectPr>
          <w:pgSz w:w="11900" w:h="16838" w:orient="portrait"/>
          <w:cols w:equalWidth="0" w:num="1">
            <w:col w:w="10940"/>
          </w:cols>
          <w:pgMar w:left="480" w:top="83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36" w:right="479" w:bottom="1440" w:gutter="0" w:footer="0" w:header="0"/>
          <w:type w:val="continuous"/>
        </w:sectPr>
      </w:pPr>
    </w:p>
    <w:bookmarkStart w:id="2" w:name="page3"/>
    <w:bookmarkEnd w:id="2"/>
    <w:p>
      <w:pPr>
        <w:spacing w:after="0" w:line="1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4"/>
          <w:szCs w:val="24"/>
          <w:color w:val="auto"/>
        </w:rPr>
        <w:t>any attorney-in-fact and further approves and ratifies any such release of information;</w:t>
      </w:r>
    </w:p>
    <w:p>
      <w:pPr>
        <w:spacing w:after="0" w:line="234" w:lineRule="exact"/>
        <w:rPr>
          <w:sz w:val="20"/>
          <w:szCs w:val="20"/>
          <w:color w:val="auto"/>
        </w:rPr>
      </w:pPr>
    </w:p>
    <w:p>
      <w:pPr>
        <w:jc w:val="both"/>
        <w:ind w:left="1460" w:hanging="731"/>
        <w:spacing w:after="0" w:line="241" w:lineRule="auto"/>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the New York Stock Exchange and any stock exchange or similar authority as considered necessary or advisable under Section 16(a) of the Exchange Act or Rule 144 of the Securities Act; and</w:t>
      </w:r>
    </w:p>
    <w:p>
      <w:pPr>
        <w:spacing w:after="0" w:line="198" w:lineRule="exact"/>
        <w:rPr>
          <w:rFonts w:ascii="Times New Roman" w:cs="Times New Roman" w:eastAsia="Times New Roman" w:hAnsi="Times New Roman"/>
          <w:sz w:val="24"/>
          <w:szCs w:val="24"/>
          <w:color w:val="auto"/>
        </w:rPr>
      </w:pPr>
    </w:p>
    <w:p>
      <w:pPr>
        <w:jc w:val="both"/>
        <w:ind w:left="1460" w:hanging="731"/>
        <w:spacing w:after="0" w:line="241" w:lineRule="auto"/>
        <w:tabs>
          <w:tab w:leader="none" w:pos="14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p>
      <w:pPr>
        <w:spacing w:after="0" w:line="198" w:lineRule="exact"/>
        <w:rPr>
          <w:sz w:val="20"/>
          <w:szCs w:val="20"/>
          <w:color w:val="auto"/>
        </w:rPr>
      </w:pPr>
    </w:p>
    <w:p>
      <w:pPr>
        <w:jc w:val="both"/>
        <w:ind w:firstLine="729"/>
        <w:spacing w:after="0" w:line="237"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spacing w:after="0" w:line="239" w:lineRule="exact"/>
        <w:rPr>
          <w:sz w:val="20"/>
          <w:szCs w:val="20"/>
          <w:color w:val="auto"/>
        </w:rPr>
      </w:pPr>
    </w:p>
    <w:p>
      <w:pPr>
        <w:jc w:val="both"/>
        <w:ind w:right="20" w:firstLine="729"/>
        <w:spacing w:after="0" w:line="245" w:lineRule="auto"/>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707390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1"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16th day of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By: </w:t>
      </w:r>
      <w:r>
        <w:rPr>
          <w:rFonts w:ascii="Times New Roman" w:cs="Times New Roman" w:eastAsia="Times New Roman" w:hAnsi="Times New Roman"/>
          <w:sz w:val="24"/>
          <w:szCs w:val="24"/>
          <w:i w:val="1"/>
          <w:iCs w:val="1"/>
          <w:u w:val="single" w:color="auto"/>
          <w:color w:val="auto"/>
        </w:rPr>
        <w:t>/s/ Shunji Sasada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Full Legal Name (including middle name, if applicable): SHUNJI SASADA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Piraeus, Attica, Greece</w:t>
      </w:r>
    </w:p>
    <w:p>
      <w:pPr>
        <w:spacing w:after="0" w:line="23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4"/>
          <w:szCs w:val="24"/>
          <w:color w:val="auto"/>
        </w:rPr>
        <w:t>On the 16th day of February, in the year 2026, before me, the undersigned, a Notary Public in Piraeus, personally appeared SHUNJI SASADA, personally known to me or proved to me on the basis of satisfactory evidence to be the person whose name is subscribed to the within instrument, and acknowledged to me that he executed the same in his capacity, and that by his signature on the instrument, the person executed the instrument.</w:t>
      </w:r>
    </w:p>
    <w:p>
      <w:pPr>
        <w:spacing w:after="0" w:line="1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i w:val="1"/>
          <w:iCs w:val="1"/>
          <w:color w:val="auto"/>
        </w:rPr>
        <w:t>/s/ Maria Kolovou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17780</wp:posOffset>
            </wp:positionV>
            <wp:extent cx="14293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9385" cy="9525"/>
                    </a:xfrm>
                    <a:prstGeom prst="rect">
                      <a:avLst/>
                    </a:prstGeom>
                    <a:noFill/>
                  </pic:spPr>
                </pic:pic>
              </a:graphicData>
            </a:graphic>
          </wp:anchor>
        </w:drawing>
      </w:r>
    </w:p>
    <w:p>
      <w:pPr>
        <w:spacing w:after="0" w:line="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[Signature Page to Limited Power of Attorney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17397" TargetMode="External"/><Relationship Id="rId11"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2026-03-18T16:19:06Z</dcterms:created>
  <dcterms:modified xsi:type="dcterms:W3CDTF">2026-03-18T16:19:06Z</dcterms:modified>
</cp:coreProperties>
</file>