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Navios Maritime Partners L.P.</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Units, representing limited partner interests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Y62267409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x Rule 13d-1(b)</w:t>
      </w:r>
    </w:p>
    <w:p>
      <w:pPr>
        <w:spacing w:after="0" w:line="225"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_____________________________</w:t>
      </w:r>
    </w:p>
    <w:p>
      <w:pPr>
        <w:spacing w:after="0" w:line="7" w:lineRule="exact"/>
        <w:rPr>
          <w:rFonts w:ascii="MS PGothic" w:cs="MS PGothic" w:eastAsia="MS PGothic" w:hAnsi="MS PGothic"/>
          <w:sz w:val="18"/>
          <w:szCs w:val="18"/>
          <w:color w:val="auto"/>
        </w:rPr>
      </w:pPr>
    </w:p>
    <w:p>
      <w:pPr>
        <w:ind w:right="160" w:firstLine="648"/>
        <w:spacing w:after="0" w:line="261"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Y62267409</w:t>
            </w:r>
          </w:p>
        </w:tc>
        <w:tc>
          <w:tcPr>
            <w:tcW w:w="3880" w:type="dxa"/>
            <w:vAlign w:val="bottom"/>
            <w:tcBorders>
              <w:right w:val="single" w:sz="8" w:color="auto"/>
            </w:tcBorders>
          </w:tcPr>
          <w:p>
            <w:pPr>
              <w:ind w:left="1760"/>
              <w:spacing w:after="0" w:line="189" w:lineRule="exact"/>
              <w:rPr>
                <w:sz w:val="20"/>
                <w:szCs w:val="20"/>
                <w:color w:val="auto"/>
              </w:rPr>
            </w:pPr>
            <w:r>
              <w:rPr>
                <w:rFonts w:ascii="Arial" w:cs="Arial" w:eastAsia="Arial" w:hAnsi="Arial"/>
                <w:sz w:val="18"/>
                <w:szCs w:val="18"/>
                <w:color w:val="auto"/>
              </w:rPr>
              <w:t>13G</w:t>
            </w:r>
          </w:p>
        </w:tc>
        <w:tc>
          <w:tcPr>
            <w:tcW w:w="3740" w:type="dxa"/>
            <w:vAlign w:val="bottom"/>
            <w:tcBorders>
              <w:top w:val="single" w:sz="8" w:color="auto"/>
              <w:right w:val="single" w:sz="8" w:color="auto"/>
            </w:tcBorders>
            <w:gridSpan w:val="5"/>
          </w:tcPr>
          <w:p>
            <w:pPr>
              <w:ind w:left="80"/>
              <w:spacing w:after="0" w:line="189" w:lineRule="exact"/>
              <w:rPr>
                <w:sz w:val="20"/>
                <w:szCs w:val="20"/>
                <w:color w:val="auto"/>
              </w:rPr>
            </w:pPr>
            <w:r>
              <w:rPr>
                <w:rFonts w:ascii="Arial" w:cs="Arial" w:eastAsia="Arial" w:hAnsi="Arial"/>
                <w:sz w:val="18"/>
                <w:szCs w:val="18"/>
                <w:color w:val="auto"/>
              </w:rPr>
              <w:t>Page 2 of 6 Pages</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388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940" w:hanging="56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18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Evermore Global Advisors, LLC</w:t>
      </w:r>
    </w:p>
    <w:p>
      <w:pPr>
        <w:spacing w:after="0" w:line="23" w:lineRule="exact"/>
        <w:rPr>
          <w:sz w:val="20"/>
          <w:szCs w:val="20"/>
          <w:color w:val="auto"/>
        </w:rPr>
      </w:pPr>
    </w:p>
    <w:p>
      <w:pPr>
        <w:ind w:left="940" w:right="5500" w:hanging="565"/>
        <w:spacing w:after="0" w:line="255"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108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8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940" w:hanging="565"/>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39" w:lineRule="exact"/>
        <w:rPr>
          <w:sz w:val="20"/>
          <w:szCs w:val="20"/>
          <w:color w:val="auto"/>
        </w:rPr>
      </w:pPr>
    </w:p>
    <w:p>
      <w:pPr>
        <w:ind w:left="940" w:right="6820" w:hanging="565"/>
        <w:spacing w:after="0" w:line="39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10" w:type="dxa"/>
        <w:tblCellMar>
          <w:top w:w="0" w:type="dxa"/>
          <w:left w:w="0" w:type="dxa"/>
          <w:bottom w:w="0" w:type="dxa"/>
          <w:right w:w="0" w:type="dxa"/>
        </w:tblCellMar>
      </w:tblPr>
      <w:tr>
        <w:trPr>
          <w:trHeight w:val="219"/>
        </w:trPr>
        <w:tc>
          <w:tcPr>
            <w:tcW w:w="520" w:type="dxa"/>
            <w:vAlign w:val="bottom"/>
            <w:tcBorders>
              <w:top w:val="single" w:sz="8" w:color="auto"/>
              <w:left w:val="single" w:sz="8" w:color="auto"/>
            </w:tcBorders>
          </w:tcPr>
          <w:p>
            <w:pPr>
              <w:spacing w:after="0"/>
              <w:rPr>
                <w:sz w:val="19"/>
                <w:szCs w:val="19"/>
                <w:color w:val="auto"/>
              </w:rPr>
            </w:pPr>
          </w:p>
        </w:tc>
        <w:tc>
          <w:tcPr>
            <w:tcW w:w="1800" w:type="dxa"/>
            <w:vAlign w:val="bottom"/>
            <w:tcBorders>
              <w:top w:val="single" w:sz="8" w:color="auto"/>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color w:val="auto"/>
                <w:w w:val="96"/>
              </w:rPr>
              <w:t>NUMBER OF</w:t>
            </w:r>
          </w:p>
        </w:tc>
        <w:tc>
          <w:tcPr>
            <w:tcW w:w="780" w:type="dxa"/>
            <w:vAlign w:val="bottom"/>
            <w:tcBorders>
              <w:top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8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7"/>
        </w:trPr>
        <w:tc>
          <w:tcPr>
            <w:tcW w:w="520" w:type="dxa"/>
            <w:vAlign w:val="bottom"/>
            <w:tcBorders>
              <w:left w:val="single" w:sz="8" w:color="auto"/>
            </w:tcBorders>
          </w:tcPr>
          <w:p>
            <w:pPr>
              <w:spacing w:after="0"/>
              <w:rPr>
                <w:sz w:val="16"/>
                <w:szCs w:val="16"/>
                <w:color w:val="auto"/>
              </w:rPr>
            </w:pPr>
          </w:p>
        </w:tc>
        <w:tc>
          <w:tcPr>
            <w:tcW w:w="1800" w:type="dxa"/>
            <w:vAlign w:val="bottom"/>
            <w:tcBorders>
              <w:right w:val="single" w:sz="8" w:color="auto"/>
            </w:tcBorders>
            <w:gridSpan w:val="2"/>
            <w:vMerge w:val="continue"/>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8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667,814 (See Item 4)</w:t>
            </w:r>
          </w:p>
        </w:tc>
        <w:tc>
          <w:tcPr>
            <w:tcW w:w="0" w:type="dxa"/>
            <w:vAlign w:val="bottom"/>
          </w:tcPr>
          <w:p>
            <w:pPr>
              <w:spacing w:after="0"/>
              <w:rPr>
                <w:sz w:val="1"/>
                <w:szCs w:val="1"/>
                <w:color w:val="auto"/>
              </w:rPr>
            </w:pPr>
          </w:p>
        </w:tc>
      </w:tr>
      <w:tr>
        <w:trPr>
          <w:trHeight w:val="182"/>
        </w:trPr>
        <w:tc>
          <w:tcPr>
            <w:tcW w:w="520" w:type="dxa"/>
            <w:vAlign w:val="bottom"/>
            <w:tcBorders>
              <w:left w:val="single" w:sz="8" w:color="auto"/>
            </w:tcBorders>
          </w:tcPr>
          <w:p>
            <w:pPr>
              <w:spacing w:after="0"/>
              <w:rPr>
                <w:sz w:val="15"/>
                <w:szCs w:val="15"/>
                <w:color w:val="auto"/>
              </w:rPr>
            </w:pPr>
          </w:p>
        </w:tc>
        <w:tc>
          <w:tcPr>
            <w:tcW w:w="1800" w:type="dxa"/>
            <w:vAlign w:val="bottom"/>
            <w:tcBorders>
              <w:right w:val="single" w:sz="8" w:color="auto"/>
            </w:tcBorders>
            <w:gridSpan w:val="2"/>
          </w:tcPr>
          <w:p>
            <w:pPr>
              <w:jc w:val="center"/>
              <w:ind w:right="430"/>
              <w:spacing w:after="0" w:line="182" w:lineRule="exact"/>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6</w:t>
            </w:r>
          </w:p>
        </w:tc>
        <w:tc>
          <w:tcPr>
            <w:tcW w:w="8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7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 (See Item 4)</w:t>
            </w:r>
          </w:p>
        </w:tc>
        <w:tc>
          <w:tcPr>
            <w:tcW w:w="0" w:type="dxa"/>
            <w:vAlign w:val="bottom"/>
          </w:tcPr>
          <w:p>
            <w:pPr>
              <w:spacing w:after="0"/>
              <w:rPr>
                <w:sz w:val="1"/>
                <w:szCs w:val="1"/>
                <w:color w:val="auto"/>
              </w:rPr>
            </w:pPr>
          </w:p>
        </w:tc>
      </w:tr>
      <w:tr>
        <w:trPr>
          <w:trHeight w:val="28"/>
        </w:trPr>
        <w:tc>
          <w:tcPr>
            <w:tcW w:w="520" w:type="dxa"/>
            <w:vAlign w:val="bottom"/>
            <w:tcBorders>
              <w:left w:val="single" w:sz="8" w:color="auto"/>
            </w:tcBorders>
          </w:tcPr>
          <w:p>
            <w:pPr>
              <w:spacing w:after="0"/>
              <w:rPr>
                <w:sz w:val="2"/>
                <w:szCs w:val="2"/>
                <w:color w:val="auto"/>
              </w:rPr>
            </w:pPr>
          </w:p>
        </w:tc>
        <w:tc>
          <w:tcPr>
            <w:tcW w:w="180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2"/>
                <w:szCs w:val="2"/>
                <w:color w:val="auto"/>
              </w:rPr>
            </w:pPr>
          </w:p>
        </w:tc>
        <w:tc>
          <w:tcPr>
            <w:tcW w:w="8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20" w:type="dxa"/>
            <w:vAlign w:val="bottom"/>
            <w:tcBorders>
              <w:left w:val="single" w:sz="8" w:color="auto"/>
            </w:tcBorders>
          </w:tcPr>
          <w:p>
            <w:pPr>
              <w:spacing w:after="0"/>
              <w:rPr>
                <w:sz w:val="14"/>
                <w:szCs w:val="14"/>
                <w:color w:val="auto"/>
              </w:rPr>
            </w:pPr>
          </w:p>
        </w:tc>
        <w:tc>
          <w:tcPr>
            <w:tcW w:w="1800" w:type="dxa"/>
            <w:vAlign w:val="bottom"/>
            <w:tcBorders>
              <w:right w:val="single" w:sz="8" w:color="auto"/>
            </w:tcBorders>
            <w:gridSpan w:val="2"/>
            <w:vMerge w:val="continue"/>
          </w:tcPr>
          <w:p>
            <w:pPr>
              <w:spacing w:after="0"/>
              <w:rPr>
                <w:sz w:val="14"/>
                <w:szCs w:val="14"/>
                <w:color w:val="auto"/>
              </w:rPr>
            </w:pPr>
          </w:p>
        </w:tc>
        <w:tc>
          <w:tcPr>
            <w:tcW w:w="780" w:type="dxa"/>
            <w:vAlign w:val="bottom"/>
            <w:tcBorders>
              <w:right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7</w:t>
            </w:r>
          </w:p>
        </w:tc>
        <w:tc>
          <w:tcPr>
            <w:tcW w:w="83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430"/>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22"/>
                <w:szCs w:val="22"/>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667,814 (See Item 4)</w:t>
            </w:r>
          </w:p>
        </w:tc>
        <w:tc>
          <w:tcPr>
            <w:tcW w:w="0" w:type="dxa"/>
            <w:vAlign w:val="bottom"/>
          </w:tcPr>
          <w:p>
            <w:pPr>
              <w:spacing w:after="0"/>
              <w:rPr>
                <w:sz w:val="1"/>
                <w:szCs w:val="1"/>
                <w:color w:val="auto"/>
              </w:rPr>
            </w:pPr>
          </w:p>
        </w:tc>
      </w:tr>
      <w:tr>
        <w:trPr>
          <w:trHeight w:val="224"/>
        </w:trPr>
        <w:tc>
          <w:tcPr>
            <w:tcW w:w="52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8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 (See Item 4)</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79"/>
              </w:rPr>
              <w:t>9</w:t>
            </w:r>
          </w:p>
        </w:tc>
        <w:tc>
          <w:tcPr>
            <w:tcW w:w="320" w:type="dxa"/>
            <w:vAlign w:val="bottom"/>
            <w:tcBorders>
              <w:right w:val="single" w:sz="8" w:color="auto"/>
            </w:tcBorders>
          </w:tcPr>
          <w:p>
            <w:pPr>
              <w:spacing w:after="0"/>
              <w:rPr>
                <w:sz w:val="20"/>
                <w:szCs w:val="20"/>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5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667,814</w:t>
            </w:r>
          </w:p>
        </w:tc>
        <w:tc>
          <w:tcPr>
            <w:tcW w:w="780" w:type="dxa"/>
            <w:vAlign w:val="bottom"/>
            <w:tcBorders>
              <w:bottom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0" w:type="dxa"/>
            <w:vAlign w:val="bottom"/>
            <w:tcBorders>
              <w:left w:val="single" w:sz="8" w:color="auto"/>
            </w:tcBorders>
          </w:tcPr>
          <w:p>
            <w:pPr>
              <w:jc w:val="center"/>
              <w:ind w:left="210"/>
              <w:spacing w:after="0" w:line="163" w:lineRule="exact"/>
              <w:rPr>
                <w:sz w:val="20"/>
                <w:szCs w:val="20"/>
                <w:color w:val="auto"/>
              </w:rPr>
            </w:pPr>
            <w:r>
              <w:rPr>
                <w:rFonts w:ascii="Arial" w:cs="Arial" w:eastAsia="Arial" w:hAnsi="Arial"/>
                <w:sz w:val="18"/>
                <w:szCs w:val="18"/>
                <w:color w:val="auto"/>
                <w:w w:val="89"/>
              </w:rPr>
              <w:t>10</w:t>
            </w:r>
          </w:p>
        </w:tc>
        <w:tc>
          <w:tcPr>
            <w:tcW w:w="320" w:type="dxa"/>
            <w:vAlign w:val="bottom"/>
            <w:tcBorders>
              <w:right w:val="single" w:sz="8" w:color="auto"/>
            </w:tcBorders>
          </w:tcPr>
          <w:p>
            <w:pPr>
              <w:spacing w:after="0"/>
              <w:rPr>
                <w:sz w:val="14"/>
                <w:szCs w:val="14"/>
                <w:color w:val="auto"/>
              </w:rPr>
            </w:pPr>
          </w:p>
        </w:tc>
        <w:tc>
          <w:tcPr>
            <w:tcW w:w="10580" w:type="dxa"/>
            <w:vAlign w:val="bottom"/>
            <w:tcBorders>
              <w:right w:val="single" w:sz="8" w:color="auto"/>
            </w:tcBorders>
            <w:gridSpan w:val="3"/>
          </w:tcPr>
          <w:p>
            <w:pPr>
              <w:ind w:left="100"/>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83"/>
        </w:trPr>
        <w:tc>
          <w:tcPr>
            <w:tcW w:w="5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4"/>
                <w:szCs w:val="24"/>
                <w:color w:val="auto"/>
              </w:rPr>
            </w:pPr>
          </w:p>
        </w:tc>
        <w:tc>
          <w:tcPr>
            <w:tcW w:w="8320" w:type="dxa"/>
            <w:vAlign w:val="bottom"/>
            <w:tcBorders>
              <w:right w:val="single" w:sz="8" w:color="auto"/>
            </w:tcBorders>
          </w:tcPr>
          <w:p>
            <w:pPr>
              <w:ind w:left="80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52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58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79"/>
              </w:rPr>
              <w:t>11</w:t>
            </w:r>
          </w:p>
        </w:tc>
        <w:tc>
          <w:tcPr>
            <w:tcW w:w="320" w:type="dxa"/>
            <w:vAlign w:val="bottom"/>
            <w:tcBorders>
              <w:right w:val="single" w:sz="8" w:color="auto"/>
            </w:tcBorders>
          </w:tcPr>
          <w:p>
            <w:pPr>
              <w:spacing w:after="0"/>
              <w:rPr>
                <w:sz w:val="24"/>
                <w:szCs w:val="24"/>
                <w:color w:val="auto"/>
              </w:rPr>
            </w:pPr>
          </w:p>
        </w:tc>
        <w:tc>
          <w:tcPr>
            <w:tcW w:w="1058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99"/>
        </w:trPr>
        <w:tc>
          <w:tcPr>
            <w:tcW w:w="5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6.1%</w:t>
            </w:r>
          </w:p>
        </w:tc>
        <w:tc>
          <w:tcPr>
            <w:tcW w:w="780" w:type="dxa"/>
            <w:vAlign w:val="bottom"/>
            <w:tcBorders>
              <w:bottom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tcPr>
          <w:p>
            <w:pPr>
              <w:jc w:val="center"/>
              <w:ind w:left="210"/>
              <w:spacing w:after="0" w:line="195" w:lineRule="exact"/>
              <w:rPr>
                <w:sz w:val="20"/>
                <w:szCs w:val="20"/>
                <w:color w:val="auto"/>
              </w:rPr>
            </w:pPr>
            <w:r>
              <w:rPr>
                <w:rFonts w:ascii="Arial" w:cs="Arial" w:eastAsia="Arial" w:hAnsi="Arial"/>
                <w:sz w:val="18"/>
                <w:szCs w:val="18"/>
                <w:color w:val="auto"/>
                <w:w w:val="89"/>
              </w:rPr>
              <w:t>12</w:t>
            </w:r>
          </w:p>
        </w:tc>
        <w:tc>
          <w:tcPr>
            <w:tcW w:w="320" w:type="dxa"/>
            <w:vAlign w:val="bottom"/>
            <w:tcBorders>
              <w:right w:val="single" w:sz="8" w:color="auto"/>
            </w:tcBorders>
          </w:tcPr>
          <w:p>
            <w:pPr>
              <w:spacing w:after="0"/>
              <w:rPr>
                <w:sz w:val="16"/>
                <w:szCs w:val="16"/>
                <w:color w:val="auto"/>
              </w:rPr>
            </w:pPr>
          </w:p>
        </w:tc>
        <w:tc>
          <w:tcPr>
            <w:tcW w:w="1058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0"/>
                <w:szCs w:val="20"/>
                <w:color w:val="auto"/>
              </w:rPr>
            </w:pPr>
          </w:p>
        </w:tc>
        <w:tc>
          <w:tcPr>
            <w:tcW w:w="8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780" w:type="dxa"/>
            <w:vAlign w:val="bottom"/>
            <w:tcBorders>
              <w:bottom w:val="single" w:sz="8" w:color="auto"/>
            </w:tcBorders>
          </w:tcPr>
          <w:p>
            <w:pPr>
              <w:spacing w:after="0"/>
              <w:rPr>
                <w:sz w:val="24"/>
                <w:szCs w:val="24"/>
                <w:color w:val="auto"/>
              </w:rPr>
            </w:pPr>
          </w:p>
        </w:tc>
        <w:tc>
          <w:tcPr>
            <w:tcW w:w="8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0"/>
          <w:szCs w:val="20"/>
          <w:color w:val="auto"/>
        </w:rPr>
      </w:pPr>
    </w:p>
    <w:p>
      <w:pPr>
        <w:ind w:right="360"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10,983,679 common units outstanding as disclosed on From 6-K, which was filed by the issuer with the U.S. Securities and Exchange Commission on November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Y62267409</w:t>
            </w:r>
          </w:p>
        </w:tc>
        <w:tc>
          <w:tcPr>
            <w:tcW w:w="3880" w:type="dxa"/>
            <w:vAlign w:val="bottom"/>
            <w:tcBorders>
              <w:right w:val="single" w:sz="8" w:color="auto"/>
            </w:tcBorders>
          </w:tcPr>
          <w:p>
            <w:pPr>
              <w:ind w:left="1760"/>
              <w:spacing w:after="0" w:line="189" w:lineRule="exact"/>
              <w:rPr>
                <w:sz w:val="20"/>
                <w:szCs w:val="20"/>
                <w:color w:val="auto"/>
              </w:rPr>
            </w:pPr>
            <w:r>
              <w:rPr>
                <w:rFonts w:ascii="Arial" w:cs="Arial" w:eastAsia="Arial" w:hAnsi="Arial"/>
                <w:sz w:val="18"/>
                <w:szCs w:val="18"/>
                <w:color w:val="auto"/>
              </w:rPr>
              <w:t>13G</w:t>
            </w:r>
          </w:p>
        </w:tc>
        <w:tc>
          <w:tcPr>
            <w:tcW w:w="3740" w:type="dxa"/>
            <w:vAlign w:val="bottom"/>
            <w:tcBorders>
              <w:top w:val="single" w:sz="8" w:color="auto"/>
              <w:right w:val="single" w:sz="8" w:color="auto"/>
            </w:tcBorders>
            <w:gridSpan w:val="5"/>
          </w:tcPr>
          <w:p>
            <w:pPr>
              <w:ind w:left="80"/>
              <w:spacing w:after="0" w:line="189" w:lineRule="exact"/>
              <w:rPr>
                <w:sz w:val="20"/>
                <w:szCs w:val="20"/>
                <w:color w:val="auto"/>
              </w:rPr>
            </w:pPr>
            <w:r>
              <w:rPr>
                <w:rFonts w:ascii="Arial" w:cs="Arial" w:eastAsia="Arial" w:hAnsi="Arial"/>
                <w:sz w:val="18"/>
                <w:szCs w:val="18"/>
                <w:color w:val="auto"/>
              </w:rPr>
              <w:t>Page 3 of 6 Pages</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388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 Avenue de Grande Bretagne, Office 11B2</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Monte Carlo, MC 98000 Monaco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89 Summit Avenue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Summit, NJ 07901</w:t>
      </w:r>
    </w:p>
    <w:p>
      <w:pPr>
        <w:spacing w:after="0" w:line="211" w:lineRule="exact"/>
        <w:rPr>
          <w:sz w:val="20"/>
          <w:szCs w:val="20"/>
          <w:color w:val="auto"/>
        </w:rPr>
      </w:pPr>
    </w:p>
    <w:p>
      <w:pPr>
        <w:ind w:left="1960" w:right="8780" w:hanging="1304"/>
        <w:spacing w:after="0" w:line="563" w:lineRule="auto"/>
        <w:tabs>
          <w:tab w:leader="none" w:pos="1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Common Units, representing limited partner interests</w:t>
      </w:r>
    </w:p>
    <w:p>
      <w:pPr>
        <w:spacing w:after="0" w:line="225" w:lineRule="exact"/>
        <w:rPr>
          <w:sz w:val="20"/>
          <w:szCs w:val="20"/>
          <w:color w:val="auto"/>
        </w:rPr>
      </w:pPr>
    </w:p>
    <w:p>
      <w:pPr>
        <w:ind w:left="1960" w:right="8620" w:hanging="1304"/>
        <w:spacing w:after="0" w:line="624" w:lineRule="auto"/>
        <w:tabs>
          <w:tab w:leader="none" w:pos="13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Y62267409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Y62267409</w:t>
            </w:r>
          </w:p>
        </w:tc>
        <w:tc>
          <w:tcPr>
            <w:tcW w:w="3880" w:type="dxa"/>
            <w:vAlign w:val="bottom"/>
            <w:tcBorders>
              <w:right w:val="single" w:sz="8" w:color="auto"/>
            </w:tcBorders>
          </w:tcPr>
          <w:p>
            <w:pPr>
              <w:ind w:left="1760"/>
              <w:spacing w:after="0" w:line="189" w:lineRule="exact"/>
              <w:rPr>
                <w:sz w:val="20"/>
                <w:szCs w:val="20"/>
                <w:color w:val="auto"/>
              </w:rPr>
            </w:pPr>
            <w:r>
              <w:rPr>
                <w:rFonts w:ascii="Arial" w:cs="Arial" w:eastAsia="Arial" w:hAnsi="Arial"/>
                <w:sz w:val="18"/>
                <w:szCs w:val="18"/>
                <w:color w:val="auto"/>
              </w:rPr>
              <w:t>13G</w:t>
            </w:r>
          </w:p>
        </w:tc>
        <w:tc>
          <w:tcPr>
            <w:tcW w:w="3740" w:type="dxa"/>
            <w:vAlign w:val="bottom"/>
            <w:tcBorders>
              <w:top w:val="single" w:sz="8" w:color="auto"/>
              <w:right w:val="single" w:sz="8" w:color="auto"/>
            </w:tcBorders>
            <w:gridSpan w:val="5"/>
          </w:tcPr>
          <w:p>
            <w:pPr>
              <w:ind w:left="80"/>
              <w:spacing w:after="0" w:line="189" w:lineRule="exact"/>
              <w:rPr>
                <w:sz w:val="20"/>
                <w:szCs w:val="20"/>
                <w:color w:val="auto"/>
              </w:rPr>
            </w:pPr>
            <w:r>
              <w:rPr>
                <w:rFonts w:ascii="Arial" w:cs="Arial" w:eastAsia="Arial" w:hAnsi="Arial"/>
                <w:sz w:val="18"/>
                <w:szCs w:val="18"/>
                <w:color w:val="auto"/>
              </w:rPr>
              <w:t>Page 4 of 6 Pages</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388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93" w:lineRule="exact"/>
        <w:rPr>
          <w:sz w:val="20"/>
          <w:szCs w:val="20"/>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60" w:right="22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960" w:right="8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240.13d-1(b)(1)(ii)(J), please specify the type of institution:______________</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The securities reported herein are beneficially owned by the Evermore Global Value Fund, a series of Evermore Funds Trust (“</w:t>
      </w:r>
      <w:r>
        <w:rPr>
          <w:rFonts w:ascii="Arial" w:cs="Arial" w:eastAsia="Arial" w:hAnsi="Arial"/>
          <w:sz w:val="16"/>
          <w:szCs w:val="16"/>
          <w:u w:val="single" w:color="auto"/>
          <w:color w:val="auto"/>
        </w:rPr>
        <w:t>EGVF</w:t>
      </w:r>
      <w:r>
        <w:rPr>
          <w:rFonts w:ascii="Arial" w:cs="Arial" w:eastAsia="Arial" w:hAnsi="Arial"/>
          <w:sz w:val="16"/>
          <w:szCs w:val="16"/>
          <w:color w:val="auto"/>
        </w:rPr>
        <w:t>”), an investment company registered under the Investment Company Act of 1940, and other managed account clients of Evermore Global Advisors, LLC (“</w:t>
      </w:r>
      <w:r>
        <w:rPr>
          <w:rFonts w:ascii="Arial" w:cs="Arial" w:eastAsia="Arial" w:hAnsi="Arial"/>
          <w:sz w:val="16"/>
          <w:szCs w:val="16"/>
          <w:u w:val="single" w:color="auto"/>
          <w:color w:val="auto"/>
        </w:rPr>
        <w:t>EGA</w:t>
      </w:r>
      <w:r>
        <w:rPr>
          <w:rFonts w:ascii="Arial" w:cs="Arial" w:eastAsia="Arial" w:hAnsi="Arial"/>
          <w:sz w:val="16"/>
          <w:szCs w:val="16"/>
          <w:color w:val="auto"/>
        </w:rPr>
        <w:t>”). EGA is an investment adviser registered under the Investment Advisers Act of 1940. Pursuant to the investment advisory agreements entered into by EGA and each of Evermore Funds Trust (of which EGVF is a series) and its other managed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65" w:lineRule="exact"/>
        <w:rPr>
          <w:sz w:val="20"/>
          <w:szCs w:val="20"/>
          <w:color w:val="auto"/>
        </w:rPr>
      </w:pPr>
    </w:p>
    <w:p>
      <w:pPr>
        <w:ind w:left="1300" w:right="8000" w:hanging="644"/>
        <w:spacing w:after="0" w:line="52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667,814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Y62267409</w:t>
            </w:r>
          </w:p>
        </w:tc>
        <w:tc>
          <w:tcPr>
            <w:tcW w:w="3880" w:type="dxa"/>
            <w:vAlign w:val="bottom"/>
            <w:tcBorders>
              <w:right w:val="single" w:sz="8" w:color="auto"/>
            </w:tcBorders>
          </w:tcPr>
          <w:p>
            <w:pPr>
              <w:ind w:left="1760"/>
              <w:spacing w:after="0" w:line="189" w:lineRule="exact"/>
              <w:rPr>
                <w:sz w:val="20"/>
                <w:szCs w:val="20"/>
                <w:color w:val="auto"/>
              </w:rPr>
            </w:pPr>
            <w:r>
              <w:rPr>
                <w:rFonts w:ascii="Arial" w:cs="Arial" w:eastAsia="Arial" w:hAnsi="Arial"/>
                <w:sz w:val="18"/>
                <w:szCs w:val="18"/>
                <w:color w:val="auto"/>
              </w:rPr>
              <w:t>13G</w:t>
            </w:r>
          </w:p>
        </w:tc>
        <w:tc>
          <w:tcPr>
            <w:tcW w:w="3740" w:type="dxa"/>
            <w:vAlign w:val="bottom"/>
            <w:tcBorders>
              <w:top w:val="single" w:sz="8" w:color="auto"/>
              <w:right w:val="single" w:sz="8" w:color="auto"/>
            </w:tcBorders>
            <w:gridSpan w:val="5"/>
          </w:tcPr>
          <w:p>
            <w:pPr>
              <w:ind w:left="80"/>
              <w:spacing w:after="0" w:line="189" w:lineRule="exact"/>
              <w:rPr>
                <w:sz w:val="20"/>
                <w:szCs w:val="20"/>
                <w:color w:val="auto"/>
              </w:rPr>
            </w:pPr>
            <w:r>
              <w:rPr>
                <w:rFonts w:ascii="Arial" w:cs="Arial" w:eastAsia="Arial" w:hAnsi="Arial"/>
                <w:sz w:val="18"/>
                <w:szCs w:val="18"/>
                <w:color w:val="auto"/>
              </w:rPr>
              <w:t>Page 5 of 6 Pages</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388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497"/>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667,814</w:t>
      </w:r>
    </w:p>
    <w:p>
      <w:pPr>
        <w:spacing w:after="0" w:line="23" w:lineRule="exact"/>
        <w:rPr>
          <w:rFonts w:ascii="Arial" w:cs="Arial" w:eastAsia="Arial" w:hAnsi="Arial"/>
          <w:sz w:val="18"/>
          <w:szCs w:val="18"/>
          <w:color w:val="auto"/>
        </w:rPr>
      </w:pPr>
    </w:p>
    <w:p>
      <w:pPr>
        <w:ind w:left="2280" w:hanging="547"/>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2280" w:hanging="597"/>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667,814</w:t>
      </w:r>
    </w:p>
    <w:p>
      <w:pPr>
        <w:spacing w:after="0" w:line="9" w:lineRule="exact"/>
        <w:rPr>
          <w:rFonts w:ascii="Arial" w:cs="Arial" w:eastAsia="Arial" w:hAnsi="Arial"/>
          <w:sz w:val="18"/>
          <w:szCs w:val="18"/>
          <w:color w:val="auto"/>
        </w:rPr>
      </w:pPr>
    </w:p>
    <w:p>
      <w:pPr>
        <w:ind w:left="2280" w:hanging="587"/>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EGVF and other managed account clients of EGA have the right to receive or power to direct the receipt of dividends from, as well as proceeds from the sale of, such securities reported herein. EGVF and other accounts managed by EGA collectively had an interest in 667,814 shares, or 6.1%, of the class of securities reported herein as of December 31, 2019. Neither EGVF, nor any of EGA’s other managed account clients, held more than five percent of such securities.</w:t>
      </w:r>
    </w:p>
    <w:p>
      <w:pPr>
        <w:spacing w:after="0" w:line="187"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9"/>
        </w:trPr>
        <w:tc>
          <w:tcPr>
            <w:tcW w:w="380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Y62267409</w:t>
            </w:r>
          </w:p>
        </w:tc>
        <w:tc>
          <w:tcPr>
            <w:tcW w:w="3880" w:type="dxa"/>
            <w:vAlign w:val="bottom"/>
            <w:tcBorders>
              <w:right w:val="single" w:sz="8" w:color="auto"/>
            </w:tcBorders>
          </w:tcPr>
          <w:p>
            <w:pPr>
              <w:ind w:left="1760"/>
              <w:spacing w:after="0" w:line="189" w:lineRule="exact"/>
              <w:rPr>
                <w:sz w:val="20"/>
                <w:szCs w:val="20"/>
                <w:color w:val="auto"/>
              </w:rPr>
            </w:pPr>
            <w:r>
              <w:rPr>
                <w:rFonts w:ascii="Arial" w:cs="Arial" w:eastAsia="Arial" w:hAnsi="Arial"/>
                <w:sz w:val="18"/>
                <w:szCs w:val="18"/>
                <w:color w:val="auto"/>
              </w:rPr>
              <w:t>13G</w:t>
            </w:r>
          </w:p>
        </w:tc>
        <w:tc>
          <w:tcPr>
            <w:tcW w:w="3740" w:type="dxa"/>
            <w:vAlign w:val="bottom"/>
            <w:tcBorders>
              <w:top w:val="single" w:sz="8" w:color="auto"/>
              <w:right w:val="single" w:sz="8" w:color="auto"/>
            </w:tcBorders>
            <w:gridSpan w:val="5"/>
          </w:tcPr>
          <w:p>
            <w:pPr>
              <w:ind w:left="80"/>
              <w:spacing w:after="0" w:line="189" w:lineRule="exact"/>
              <w:rPr>
                <w:sz w:val="20"/>
                <w:szCs w:val="20"/>
                <w:color w:val="auto"/>
              </w:rPr>
            </w:pPr>
            <w:r>
              <w:rPr>
                <w:rFonts w:ascii="Arial" w:cs="Arial" w:eastAsia="Arial" w:hAnsi="Arial"/>
                <w:sz w:val="18"/>
                <w:szCs w:val="18"/>
                <w:color w:val="auto"/>
              </w:rPr>
              <w:t>Page 6 of 6 Pages</w:t>
            </w:r>
          </w:p>
        </w:tc>
      </w:tr>
      <w:tr>
        <w:trPr>
          <w:trHeight w:val="21"/>
        </w:trPr>
        <w:tc>
          <w:tcPr>
            <w:tcW w:w="1020" w:type="dxa"/>
            <w:vAlign w:val="bottom"/>
            <w:tcBorders>
              <w:left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388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January 30,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LeGoff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2020-01-30T09:17:08Z</dcterms:created>
  <dcterms:modified xsi:type="dcterms:W3CDTF">2020-01-30T09:17:08Z</dcterms:modified>
</cp:coreProperties>
</file>