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252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252845"/>
                    </a:xfrm>
                    <a:prstGeom prst="rect">
                      <a:avLst/>
                    </a:prstGeom>
                    <a:noFill/>
                  </pic:spPr>
                </pic:pic>
              </a:graphicData>
            </a:graphic>
          </wp:anchor>
        </w:drawing>
      </w:r>
    </w:p>
    <w:p>
      <w:pPr>
        <w:spacing w:after="0" w:line="1285" w:lineRule="exact"/>
        <w:rPr>
          <w:sz w:val="24"/>
          <w:szCs w:val="24"/>
          <w:color w:val="auto"/>
        </w:rPr>
      </w:pPr>
    </w:p>
    <w:p>
      <w:pPr>
        <w:sectPr>
          <w:pgSz w:w="11900" w:h="16885"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Frangou Angeliki</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NAVIOS SHIPMANAGEMENT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85 AKTI MIAOULI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Navios Maritime Partners L.P.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NMM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432" w:lineRule="exact"/>
        <w:rPr>
          <w:sz w:val="24"/>
          <w:szCs w:val="24"/>
          <w:color w:val="auto"/>
        </w:rPr>
      </w:pPr>
    </w:p>
    <w:p>
      <w:pPr>
        <w:sectPr>
          <w:pgSz w:w="11900" w:h="16885" w:orient="portrait"/>
          <w:cols w:equalWidth="0" w:num="3">
            <w:col w:w="3200" w:space="720"/>
            <w:col w:w="3320" w:space="495"/>
            <w:col w:w="3345"/>
          </w:cols>
          <w:pgMar w:left="460" w:top="219" w:right="359" w:bottom="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PIRAEUS</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J3</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18538</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85"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jc w:val="center"/>
              <w:ind w:right="2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3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ind w:right="74"/>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Unit</w:t>
            </w:r>
          </w:p>
        </w:tc>
        <w:tc>
          <w:tcPr>
            <w:tcW w:w="1120" w:type="dxa"/>
            <w:vAlign w:val="bottom"/>
          </w:tcPr>
          <w:p>
            <w:pPr>
              <w:spacing w:after="0"/>
              <w:rPr>
                <w:sz w:val="21"/>
                <w:szCs w:val="21"/>
                <w:color w:val="auto"/>
              </w:rPr>
            </w:pPr>
          </w:p>
        </w:tc>
        <w:tc>
          <w:tcPr>
            <w:tcW w:w="11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05/21/2026</w:t>
            </w: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P</w:t>
            </w:r>
            <w:r>
              <w:rPr>
                <w:rFonts w:ascii="Times New Roman" w:cs="Times New Roman" w:eastAsia="Times New Roman" w:hAnsi="Times New Roman"/>
                <w:sz w:val="11"/>
                <w:szCs w:val="11"/>
                <w:color w:val="008000"/>
              </w:rPr>
              <w:t>(1)</w:t>
            </w:r>
          </w:p>
        </w:tc>
        <w:tc>
          <w:tcPr>
            <w:tcW w:w="820" w:type="dxa"/>
            <w:vAlign w:val="bottom"/>
            <w:vMerge w:val="restart"/>
          </w:tcPr>
          <w:p>
            <w:pPr>
              <w:jc w:val="right"/>
              <w:ind w:right="169"/>
              <w:spacing w:after="0"/>
              <w:rPr>
                <w:sz w:val="20"/>
                <w:szCs w:val="20"/>
                <w:color w:val="auto"/>
              </w:rPr>
            </w:pPr>
            <w:r>
              <w:rPr>
                <w:rFonts w:ascii="Times New Roman" w:cs="Times New Roman" w:eastAsia="Times New Roman" w:hAnsi="Times New Roman"/>
                <w:sz w:val="17"/>
                <w:szCs w:val="17"/>
                <w:color w:val="0000FF"/>
              </w:rPr>
              <w:t>1,107</w:t>
            </w:r>
          </w:p>
        </w:tc>
        <w:tc>
          <w:tcPr>
            <w:tcW w:w="46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color w:val="0000FF"/>
                <w:w w:val="97"/>
              </w:rPr>
              <w:t>A</w:t>
            </w:r>
          </w:p>
        </w:tc>
        <w:tc>
          <w:tcPr>
            <w:tcW w:w="8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77.8112</w:t>
            </w:r>
            <w:r>
              <w:rPr>
                <w:rFonts w:ascii="Times New Roman" w:cs="Times New Roman" w:eastAsia="Times New Roman" w:hAnsi="Times New Roman"/>
                <w:sz w:val="22"/>
                <w:szCs w:val="22"/>
                <w:color w:val="008000"/>
                <w:vertAlign w:val="superscript"/>
              </w:rPr>
              <w:t>(2)</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4,728,487</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Unit</w:t>
            </w:r>
          </w:p>
        </w:tc>
        <w:tc>
          <w:tcPr>
            <w:tcW w:w="1120" w:type="dxa"/>
            <w:vAlign w:val="bottom"/>
          </w:tcPr>
          <w:p>
            <w:pPr>
              <w:spacing w:after="0"/>
              <w:rPr>
                <w:sz w:val="21"/>
                <w:szCs w:val="21"/>
                <w:color w:val="auto"/>
              </w:rPr>
            </w:pPr>
          </w:p>
        </w:tc>
        <w:tc>
          <w:tcPr>
            <w:tcW w:w="11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05/22/2026</w:t>
            </w: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P</w:t>
            </w:r>
            <w:r>
              <w:rPr>
                <w:rFonts w:ascii="Times New Roman" w:cs="Times New Roman" w:eastAsia="Times New Roman" w:hAnsi="Times New Roman"/>
                <w:sz w:val="11"/>
                <w:szCs w:val="11"/>
                <w:color w:val="008000"/>
              </w:rPr>
              <w:t>(1)</w:t>
            </w:r>
          </w:p>
        </w:tc>
        <w:tc>
          <w:tcPr>
            <w:tcW w:w="820" w:type="dxa"/>
            <w:vAlign w:val="bottom"/>
            <w:vMerge w:val="restart"/>
          </w:tcPr>
          <w:p>
            <w:pPr>
              <w:jc w:val="right"/>
              <w:ind w:right="189"/>
              <w:spacing w:after="0"/>
              <w:rPr>
                <w:sz w:val="20"/>
                <w:szCs w:val="20"/>
                <w:color w:val="auto"/>
              </w:rPr>
            </w:pPr>
            <w:r>
              <w:rPr>
                <w:rFonts w:ascii="Times New Roman" w:cs="Times New Roman" w:eastAsia="Times New Roman" w:hAnsi="Times New Roman"/>
                <w:sz w:val="17"/>
                <w:szCs w:val="17"/>
                <w:color w:val="0000FF"/>
              </w:rPr>
              <w:t>1,116</w:t>
            </w:r>
          </w:p>
        </w:tc>
        <w:tc>
          <w:tcPr>
            <w:tcW w:w="46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color w:val="0000FF"/>
                <w:w w:val="97"/>
              </w:rPr>
              <w:t>A</w:t>
            </w:r>
          </w:p>
        </w:tc>
        <w:tc>
          <w:tcPr>
            <w:tcW w:w="8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74.2951</w:t>
            </w:r>
            <w:r>
              <w:rPr>
                <w:rFonts w:ascii="Times New Roman" w:cs="Times New Roman" w:eastAsia="Times New Roman" w:hAnsi="Times New Roman"/>
                <w:sz w:val="22"/>
                <w:szCs w:val="22"/>
                <w:color w:val="008000"/>
                <w:vertAlign w:val="superscript"/>
              </w:rPr>
              <w:t>(2)</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4,729,603</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Unit</w:t>
            </w:r>
          </w:p>
        </w:tc>
        <w:tc>
          <w:tcPr>
            <w:tcW w:w="1120" w:type="dxa"/>
            <w:vAlign w:val="bottom"/>
          </w:tcPr>
          <w:p>
            <w:pPr>
              <w:spacing w:after="0"/>
              <w:rPr>
                <w:sz w:val="21"/>
                <w:szCs w:val="21"/>
                <w:color w:val="auto"/>
              </w:rPr>
            </w:pPr>
          </w:p>
        </w:tc>
        <w:tc>
          <w:tcPr>
            <w:tcW w:w="11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05/26/2026</w:t>
            </w: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P</w:t>
            </w:r>
            <w:r>
              <w:rPr>
                <w:rFonts w:ascii="Times New Roman" w:cs="Times New Roman" w:eastAsia="Times New Roman" w:hAnsi="Times New Roman"/>
                <w:sz w:val="11"/>
                <w:szCs w:val="11"/>
                <w:color w:val="008000"/>
              </w:rPr>
              <w:t>(1)</w:t>
            </w:r>
          </w:p>
        </w:tc>
        <w:tc>
          <w:tcPr>
            <w:tcW w:w="820" w:type="dxa"/>
            <w:vAlign w:val="bottom"/>
            <w:vMerge w:val="restart"/>
          </w:tcPr>
          <w:p>
            <w:pPr>
              <w:jc w:val="right"/>
              <w:ind w:right="189"/>
              <w:spacing w:after="0"/>
              <w:rPr>
                <w:sz w:val="20"/>
                <w:szCs w:val="20"/>
                <w:color w:val="auto"/>
              </w:rPr>
            </w:pPr>
            <w:r>
              <w:rPr>
                <w:rFonts w:ascii="Times New Roman" w:cs="Times New Roman" w:eastAsia="Times New Roman" w:hAnsi="Times New Roman"/>
                <w:sz w:val="17"/>
                <w:szCs w:val="17"/>
                <w:color w:val="0000FF"/>
              </w:rPr>
              <w:t>1,118</w:t>
            </w:r>
          </w:p>
        </w:tc>
        <w:tc>
          <w:tcPr>
            <w:tcW w:w="46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color w:val="0000FF"/>
                <w:w w:val="97"/>
              </w:rPr>
              <w:t>A</w:t>
            </w:r>
          </w:p>
        </w:tc>
        <w:tc>
          <w:tcPr>
            <w:tcW w:w="8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73.6283</w:t>
            </w:r>
            <w:r>
              <w:rPr>
                <w:rFonts w:ascii="Times New Roman" w:cs="Times New Roman" w:eastAsia="Times New Roman" w:hAnsi="Times New Roman"/>
                <w:sz w:val="22"/>
                <w:szCs w:val="22"/>
                <w:color w:val="008000"/>
                <w:vertAlign w:val="superscript"/>
              </w:rPr>
              <w:t>(2)</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4,730,721</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tcBorders>
              <w:top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Unit</w:t>
            </w:r>
          </w:p>
        </w:tc>
        <w:tc>
          <w:tcPr>
            <w:tcW w:w="1120" w:type="dxa"/>
            <w:vAlign w:val="bottom"/>
            <w:tcBorders>
              <w:top w:val="single" w:sz="8" w:color="2C2C2C"/>
            </w:tcBorders>
          </w:tcPr>
          <w:p>
            <w:pPr>
              <w:spacing w:after="0"/>
              <w:rPr>
                <w:sz w:val="23"/>
                <w:szCs w:val="23"/>
                <w:color w:val="auto"/>
              </w:rPr>
            </w:pPr>
          </w:p>
        </w:tc>
        <w:tc>
          <w:tcPr>
            <w:tcW w:w="112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76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22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46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40" w:type="dxa"/>
            <w:vAlign w:val="bottom"/>
            <w:tcBorders>
              <w:top w:val="single" w:sz="8" w:color="2C2C2C"/>
            </w:tcBorders>
          </w:tcPr>
          <w:p>
            <w:pPr>
              <w:spacing w:after="0"/>
              <w:rPr>
                <w:sz w:val="23"/>
                <w:szCs w:val="23"/>
                <w:color w:val="auto"/>
              </w:rPr>
            </w:pPr>
          </w:p>
        </w:tc>
        <w:tc>
          <w:tcPr>
            <w:tcW w:w="1160" w:type="dxa"/>
            <w:vAlign w:val="bottom"/>
            <w:tcBorders>
              <w:top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366,776</w:t>
            </w:r>
          </w:p>
        </w:tc>
        <w:tc>
          <w:tcPr>
            <w:tcW w:w="34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General Partnership Unit</w:t>
            </w: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622,296</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6. Date Exercisable and</w:t>
            </w:r>
          </w:p>
        </w:tc>
        <w:tc>
          <w:tcPr>
            <w:tcW w:w="1200" w:type="dxa"/>
            <w:vAlign w:val="bottom"/>
            <w:gridSpan w:val="3"/>
          </w:tcPr>
          <w:p>
            <w:pPr>
              <w:ind w:left="20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20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herein were made pursuant to a Rule 10b5-1 trading plan between Raymar Investments S.A., an entity affiliated with Ms. Frangou, and UBS Financial Services Inc. adopted on December 9, 2025.</w:t>
      </w:r>
    </w:p>
    <w:p>
      <w:pPr>
        <w:spacing w:after="0" w:line="7" w:lineRule="exact"/>
        <w:rPr>
          <w:rFonts w:ascii="Times New Roman" w:cs="Times New Roman" w:eastAsia="Times New Roman" w:hAnsi="Times New Roman"/>
          <w:sz w:val="13"/>
          <w:szCs w:val="13"/>
          <w:color w:val="008000"/>
        </w:rPr>
      </w:pPr>
    </w:p>
    <w:p>
      <w:pPr>
        <w:ind w:left="40" w:right="20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herein were effected in multiple transactions each day at prices ranging from (1) $75.24 to $79.86 on May 21, 2026; (2) $73.65 to $74.81 on May 22, 2026; and (3) $73.02 to $74.44 on May 26, 2026. The prices reported above reflect the weighted average purchase prices on each such day for the transactions reported herein. The Reporting Person hereby undertakes to provide upon request to the Staff of the Securities and Exchange Commission, the issuer, or any security holder of the issuer full information regarding the number of shares and the prices at which these reported transactions were effected each day.</w:t>
      </w:r>
    </w:p>
    <w:p>
      <w:pPr>
        <w:spacing w:after="0" w:line="24"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common units beneficially owned by Ms. Frangou includes (i) 3,183,199 common units owned indirectly through N Shipmanagement Acquisition Corp., an entity affiliated with her; (ii) 1,489,115 common units in the aggregate owned indirectly through three other entities affiliated with her and (iii) 56,173 common units owned through Raymar Investments S.A., an entity affiliated with Ms. Frangou, pursuant to a Rule 10b5-1 trading plan with UBS Financial Services Inc as of May 21, 2026.</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common units beneficially owned by Ms. Frangou includes (i) 3,183,199 common units owned indirectly through N Shipmanagement Acquisition Corp., an entity affiliated with her; (ii) 1,489,115 common units in the aggregate owned indirectly through three other entities affiliated with her and (iii) 57,289 common units owned through Raymar Investments S.A., an entity affiliated with Ms. Frangou, pursuant to a Rule 10b5-1 trading plan with UBS Financial Services Inc as of May 22, 2026.</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common units beneficially owned by Ms. Frangou includes (i) 3,183,199 common units owned indirectly through N Shipmanagement Acquisition Corp., an entity affiliated with her; (ii) 1,489,115 common units in the aggregate owned indirectly through three other entities affiliated with her and (iii) 58,407 common units owned through Raymar Investments S.A., an entity affiliated with Ms. Frangou, pursuant to a Rule 10b5-1 trading plan with UBS Financial Services Inc as of May 26, 2026.</w:t>
      </w:r>
    </w:p>
    <w:p>
      <w:pPr>
        <w:spacing w:after="0" w:line="20"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Olympos Maritime Ltd., an entity affiliated with Ms. Frangou, is the general partner (the "General Partner") of Navios Maritime Partners L.P. ("NMM"). As of May 26, 2026, the General Partner owns 622,296 general partnership units, representing an approximately 2.1% ownership interest in NMM based on all outstanding common units and general partnership units.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Executive Officer &amp; Chairwoman of the Board</w:t>
      </w:r>
    </w:p>
    <w:p>
      <w:pPr>
        <w:sectPr>
          <w:pgSz w:w="11900" w:h="16885" w:orient="portrait"/>
          <w:cols w:equalWidth="0" w:num="1">
            <w:col w:w="11080"/>
          </w:cols>
          <w:pgMar w:left="460" w:top="219" w:right="359" w:bottom="0" w:gutter="0" w:footer="0" w:header="0"/>
          <w:type w:val="continuous"/>
        </w:sectPr>
      </w:pP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Todd Mason, by POA from 05/26/2026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ectPr>
          <w:pgSz w:w="11900" w:h="16885" w:orient="portrait"/>
          <w:cols w:equalWidth="0" w:num="1">
            <w:col w:w="11080"/>
          </w:cols>
          <w:pgMar w:left="460" w:top="219" w:right="359" w:bottom="0" w:gutter="0" w:footer="0" w:header="0"/>
          <w:type w:val="continuous"/>
        </w:sectPr>
      </w:pPr>
    </w:p>
    <w:bookmarkStart w:id="1" w:name="page2"/>
    <w:bookmarkEnd w:id="1"/>
    <w:p>
      <w:pPr>
        <w:ind w:left="6540"/>
        <w:spacing w:after="0"/>
        <w:rPr>
          <w:sz w:val="20"/>
          <w:szCs w:val="20"/>
          <w:color w:val="auto"/>
        </w:rPr>
      </w:pPr>
      <w:r>
        <w:rPr>
          <w:rFonts w:ascii="Times New Roman" w:cs="Times New Roman" w:eastAsia="Times New Roman" w:hAnsi="Times New Roman"/>
          <w:sz w:val="17"/>
          <w:szCs w:val="17"/>
          <w:color w:val="0000FF"/>
        </w:rPr>
        <w:t>Angeliki Frangou,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8064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8064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Chairwoman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28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728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Chief Executive Officer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07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2407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663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366395"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1310495" TargetMode="External"/><Relationship Id="rId14" Type="http://schemas.openxmlformats.org/officeDocument/2006/relationships/hyperlink" Target="http://www.sec.gov/cgi-bin/browse-edgar?action=getcompany&amp;CIK=00014159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2026-05-26T20:10:36Z</dcterms:created>
  <dcterms:modified xsi:type="dcterms:W3CDTF">2026-05-26T20:10:36Z</dcterms:modified>
</cp:coreProperties>
</file>