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Frangou Angeliki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NAVIOS SHIPMANAGEMENT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AKTI MIAOULI</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PIRAEUS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GREECE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18538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GREECE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Navios Maritime Partners L.P.</w:t>
              </w:r>
            </w:hyperlink>
            <w:r>
              <w:rPr/>
              <w:t xml:space="preserve"> [ </w:t>
            </w:r>
            <w:r>
              <w:rPr>
                <w:rFonts w:ascii="Times;serif" w:hAnsi="Times;serif"/>
                <w:color w:val="0000FF"/>
                <w:sz w:val="24"/>
                <w:shd w:fill="FFFFFF" w:val="clear"/>
              </w:rPr>
              <w:t>NMM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3"/>
        <w:gridCol w:w="909"/>
        <w:gridCol w:w="780"/>
        <w:gridCol w:w="603"/>
        <w:gridCol w:w="337"/>
        <w:gridCol w:w="805"/>
        <w:gridCol w:w="419"/>
        <w:gridCol w:w="981"/>
        <w:gridCol w:w="1239"/>
        <w:gridCol w:w="958"/>
        <w:gridCol w:w="10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07/23/2026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1,131</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748,119</w:t>
            </w:r>
            <w:r>
              <w:rPr>
                <w:rFonts w:ascii="Times;serif" w:hAnsi="Times;serif"/>
                <w:color w:val="008000"/>
                <w:position w:val="7"/>
                <w:sz w:val="16"/>
                <w:sz w:val="20"/>
                <w:shd w:fill="FFFFFF" w:val="clear"/>
              </w:rPr>
              <w:t>(2)</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4,776,699</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1,084</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79.019</w:t>
            </w:r>
            <w:r>
              <w:rPr>
                <w:rFonts w:ascii="Times;serif" w:hAnsi="Times;serif"/>
                <w:color w:val="008000"/>
                <w:position w:val="7"/>
                <w:sz w:val="16"/>
                <w:sz w:val="20"/>
                <w:shd w:fill="FFFFFF" w:val="clear"/>
              </w:rPr>
              <w:t>(2)</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4,777,783</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21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1,053</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77.6356</w:t>
            </w:r>
            <w:r>
              <w:rPr>
                <w:rFonts w:ascii="Times;serif" w:hAnsi="Times;serif"/>
                <w:color w:val="008000"/>
                <w:position w:val="7"/>
                <w:sz w:val="16"/>
                <w:sz w:val="20"/>
                <w:shd w:fill="FFFFFF" w:val="clear"/>
              </w:rPr>
              <w:t>(2)</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4,778,836</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p>
        </w:tc>
      </w:tr>
      <w:tr>
        <w:trPr/>
        <w:tc>
          <w:tcPr>
            <w:tcW w:w="21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366,776</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General Partnership Unit</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622,296</w:t>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herein were made pursuant to a Rule 10b5-1 trading plan between Raymar Investments S.A., an entity affiliated with Ms. Frangou, and UBS Financial Services Inc. adopted on December 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transactions reported herein were effected in multiple transactions each day at prices ranging from (1) $73.73 to $76.34 on July 23, 2026; (2) $78.09 to $80.00 on July 24, 2026; and (3) $77.09 to $78.38 on July 27, 2026. The prices reported above reflect the weighted average purchase prices on each such day for the transactions reported herein. The Reporting Person hereby undertakes to provide upon request to the Staff of the Securities and Exchange Commission, the issuer, or any security holder of the issuer full information regarding the number of shares and the prices at which these reported transactions were effected each day.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104,385 common units owned through Raymar Investments S.A., an entity affiliated with Ms. Frangou, pursuant to a Rule 10b5-1 trading plan with UBS Financial Services Inc as of July 23,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105,469 common units owned through Raymar Investments S.A., an entity affiliated with Ms. Frangou, pursuant to a Rule 10b5-1 trading plan with UBS Financial Services Inc as of July 24,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106,522 common units owned through Raymar Investments S.A., an entity affiliated with Ms. Frangou, pursuant to a Rule 10b5-1 trading plan with UBS Financial Services Inc as of July 27,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Olympos Maritime Ltd., an entity affiliated with Ms. Frangou, is the general partner (the "General Partner") of Navios Maritime Partners L.P. ("NMM"). As of July 27, 2026, the General Partner owns 622,296 general partnership units, representing an approximately 2.1% ownership interest in NMM based on all outstanding common units and general partnership units.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Executive Officer &amp; Chairwoman of the Board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Todd Mason, by POA from Angeliki Frangou, Chairwoman of the Board, Chief Executive Officer and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310495" TargetMode="External"/><Relationship Id="rId5" Type="http://schemas.openxmlformats.org/officeDocument/2006/relationships/hyperlink" Target="http://www.sec.gov/cgi-bin/browse-edgar?action=getcompany&amp;CIK=00014159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1049</Words>
  <Characters>5747</Characters>
  <CharactersWithSpaces>6694</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