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04/17/2026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1,201</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70.3947</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4,700,698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04/20/2026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1,190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70.2968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4,701,888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04/21/2026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1,190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69.2251</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4,703,078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366,766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$69.62 to $70.73 on April 17, 2026; (2) $69.52 to $70.80 on April 20, 2026; and (3) $68.56 to $70.21 on April 21,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28,384 common units owned through Raymar Investments S.A., an entity affiliated with Ms. Frangou, pursuant to a Rule 10b5-1 trading plan with UBS Financial Services Inc as of April 17,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29,574 common units owned through Raymar Investments S.A., an entity affiliated with Ms. Frangou, pursuant to a Rule 10b5-1 trading plan with UBS Financial Services Inc as of April 20,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30,764 common units owned through Raymar Investments S.A., an entity affiliated with Ms. Frangou, pursuant to a Rule 10b5-1 trading plan with UBS Financial Services Inc as of April 21, 2026.</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April 21,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04/21/2026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2026-04-21T20:11:45Z</dcterms:created>
  <dcterms:modified xsi:type="dcterms:W3CDTF">2026-04-21T20:11:45Z</dcterms:modified>
</cp:coreProperties>
</file>