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52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285" w:lineRule="exact"/>
        <w:rPr>
          <w:sz w:val="24"/>
          <w:szCs w:val="24"/>
          <w:color w:val="auto"/>
        </w:rPr>
      </w:pPr>
    </w:p>
    <w:p>
      <w:pPr>
        <w:sectPr>
          <w:pgSz w:w="11900" w:h="1688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Frangou Angeliki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NAVIOS SHIPMANAGEMENT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85 AKTI MIAOULI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Navios Maritime Partners L.P.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NMM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85" w:orient="portrait"/>
          <w:cols w:equalWidth="0" w:num="3">
            <w:col w:w="3200" w:space="720"/>
            <w:col w:w="3320" w:space="49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PIRAEUS</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J3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18538</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8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4"/>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04/09/2026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1,155</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70.7843</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4,693,513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04/10/2026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1,188</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68.936</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4,694,701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Pr>
          <w:p>
            <w:pPr>
              <w:spacing w:after="0"/>
              <w:rPr>
                <w:sz w:val="21"/>
                <w:szCs w:val="21"/>
                <w:color w:val="auto"/>
              </w:rPr>
            </w:pPr>
          </w:p>
        </w:tc>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04/13/2026</w:t>
            </w: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820" w:type="dxa"/>
            <w:vAlign w:val="bottom"/>
            <w:vMerge w:val="restart"/>
          </w:tcPr>
          <w:p>
            <w:pPr>
              <w:jc w:val="right"/>
              <w:ind w:right="169"/>
              <w:spacing w:after="0"/>
              <w:rPr>
                <w:sz w:val="20"/>
                <w:szCs w:val="20"/>
                <w:color w:val="auto"/>
              </w:rPr>
            </w:pPr>
            <w:r>
              <w:rPr>
                <w:rFonts w:ascii="Times New Roman" w:cs="Times New Roman" w:eastAsia="Times New Roman" w:hAnsi="Times New Roman"/>
                <w:sz w:val="17"/>
                <w:szCs w:val="17"/>
                <w:color w:val="0000FF"/>
              </w:rPr>
              <w:t>1,204</w:t>
            </w:r>
          </w:p>
        </w:tc>
        <w:tc>
          <w:tcPr>
            <w:tcW w:w="460" w:type="dxa"/>
            <w:vAlign w:val="bottom"/>
            <w:vMerge w:val="restart"/>
          </w:tcPr>
          <w:p>
            <w:pPr>
              <w:jc w:val="center"/>
              <w:ind w:right="34"/>
              <w:spacing w:after="0"/>
              <w:rPr>
                <w:sz w:val="20"/>
                <w:szCs w:val="20"/>
                <w:color w:val="auto"/>
              </w:rPr>
            </w:pPr>
            <w:r>
              <w:rPr>
                <w:rFonts w:ascii="Times New Roman" w:cs="Times New Roman" w:eastAsia="Times New Roman" w:hAnsi="Times New Roman"/>
                <w:sz w:val="17"/>
                <w:szCs w:val="17"/>
                <w:color w:val="0000FF"/>
                <w:w w:val="97"/>
              </w:rPr>
              <w:t>A</w:t>
            </w:r>
          </w:p>
        </w:tc>
        <w:tc>
          <w:tcPr>
            <w:tcW w:w="8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70.2395</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4,695,905</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Unit</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366,766</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General Partnership Unit</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622,296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made pursuant to a Rule 10b5-1 trading plan between Raymar Investments S.A., an entity affiliated with Ms. Frangou, and UBS Financial Services Inc. adopted on December 9, 2025.</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herein were effected in multiple transactions each day at prices ranging from (1) $70.12 to $72.26 on April 9, 2026; (2) $68.38 to $69.80 on April 10, 2026; and (3) $69.83 to $70.57 on April 13, 2026. The prices reported above reflect the weighted average purchase prices on each such day for the transactions reported herein. The Reporting Person hereby undertakes to provide upon request to the Staff of the Securities and Exchange Commission, the issuer, or any security holder of the issuer full information regarding the number of shares and the prices at which these reported transactions were effected each day.</w:t>
      </w:r>
    </w:p>
    <w:p>
      <w:pPr>
        <w:spacing w:after="0" w:line="24"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21,199 common units owned through Raymar Investments S.A., an entity affiliated with Ms. Frangou, pursuant to a Rule 10b5-1 trading plan with UBS Financial Services Inc as of April 9,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22,387 common units owned through Raymar Investments S.A., an entity affiliated with Ms. Frangou, pursuant to a Rule 10b5-1 trading plan with UBS Financial Services Inc as of April 10, 2026.</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common units beneficially owned by Ms. Frangou includes (i) 3,183,199 common units owned indirectly through N Shipmanagement Acquisition Corp., an entity affiliated with her; (ii) 1,489,115 common units in the aggregate owned indirectly through three other entities affiliated with her and (iii) 23,591 common units owned through Raymar Investments S.A., an entity affiliated with Ms. Frangou, pursuant to a Rule 10b5-1 trading plan with UBS Financial Services Inc as of April 13, 2026.</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Olympos Maritime Ltd., an entity affiliated with Ms. Frangou, is the general partner (the "General Partner") of Navios Maritime Partners L.P. ("NMM"). As of April 13, 2026, the General Partner owns 622,296 general partnership units, representing an approximately 2.1% ownership interest in NMM based on all outstanding common units and general partnership units.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Executive Officer &amp; Chairwoman of the Board</w:t>
      </w:r>
    </w:p>
    <w:p>
      <w:pPr>
        <w:sectPr>
          <w:pgSz w:w="11900" w:h="16885" w:orient="portrait"/>
          <w:cols w:equalWidth="0" w:num="1">
            <w:col w:w="11080"/>
          </w:cols>
          <w:pgMar w:left="460" w:top="219" w:right="359" w:bottom="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Todd Mason, by POA from 04/13/2026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85"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806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Chairwoman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28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0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310495" TargetMode="External"/><Relationship Id="rId14" Type="http://schemas.openxmlformats.org/officeDocument/2006/relationships/hyperlink" Target="http://www.sec.gov/cgi-bin/browse-edgar?action=getcompany&amp;CIK=00014159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2026-04-13T20:07:06Z</dcterms:created>
  <dcterms:modified xsi:type="dcterms:W3CDTF">2026-04-13T20:07:06Z</dcterms:modified>
</cp:coreProperties>
</file>