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98843df3.htm"/>
        <w:bookmarkStart w:id="1" w:name="ksd398843df3"/>
        <w:bookmarkEnd w:id="0"/>
        <w:bookmarkEnd w:id="1"/>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 filed with the U.S. Securities and Exchange Commission on May 11, 2023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Statement No.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F-3</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NAVIOS MARITIME PARTNERS L.P.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Republic of Marshall Islands</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4412</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N/A</w:t>
            </w:r>
          </w:p>
        </w:tc>
      </w:tr>
      <w:tr>
        <w:trPr/>
        <w:tc>
          <w:tcPr>
            <w:tcW w:w="3469"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(Primary Standard Industrial</w:t>
            </w:r>
          </w:p>
          <w:p>
            <w:pPr>
              <w:pStyle w:val="TableContents"/>
              <w:bidi w:val="0"/>
              <w:spacing w:before="0" w:after="20"/>
              <w:jc w:val="center"/>
              <w:rPr>
                <w:rFonts w:ascii="Times New Roman" w:hAnsi="Times New Roman"/>
                <w:b/>
                <w:sz w:val="16"/>
              </w:rPr>
            </w:pPr>
            <w:r>
              <w:rPr>
                <w:rFonts w:ascii="Times New Roman" w:hAnsi="Times New Roman"/>
                <w:b/>
                <w:sz w:val="16"/>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7 Avenue de Grande Bretagne, Office 11B2 </w:t>
      </w:r>
    </w:p>
    <w:p>
      <w:pPr>
        <w:pStyle w:val="TextBody"/>
        <w:bidi w:val="0"/>
        <w:spacing w:before="0" w:after="0"/>
        <w:jc w:val="center"/>
        <w:rPr>
          <w:rFonts w:ascii="Times New Roman" w:hAnsi="Times New Roman"/>
          <w:b/>
          <w:sz w:val="20"/>
        </w:rPr>
      </w:pPr>
      <w:r>
        <w:rPr>
          <w:rFonts w:ascii="Times New Roman" w:hAnsi="Times New Roman"/>
          <w:b/>
          <w:sz w:val="20"/>
        </w:rPr>
        <w:t xml:space="preserve">Monte Carlo, MC 98000 Monaco </w:t>
      </w:r>
    </w:p>
    <w:p>
      <w:pPr>
        <w:pStyle w:val="TextBody"/>
        <w:bidi w:val="0"/>
        <w:spacing w:before="0" w:after="0"/>
        <w:jc w:val="center"/>
        <w:rPr>
          <w:rFonts w:ascii="Times New Roman" w:hAnsi="Times New Roman"/>
          <w:b/>
          <w:sz w:val="20"/>
        </w:rPr>
      </w:pPr>
      <w:r>
        <w:rPr>
          <w:rFonts w:ascii="Times New Roman" w:hAnsi="Times New Roman"/>
          <w:b/>
          <w:sz w:val="20"/>
        </w:rPr>
        <w:t xml:space="preserve">(011) + (377) 9798-2140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and telephone number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Trust Company of the Marshall Islands, Inc. </w:t>
      </w:r>
    </w:p>
    <w:p>
      <w:pPr>
        <w:pStyle w:val="TextBody"/>
        <w:bidi w:val="0"/>
        <w:spacing w:before="0" w:after="0"/>
        <w:jc w:val="center"/>
        <w:rPr>
          <w:rFonts w:ascii="Times New Roman" w:hAnsi="Times New Roman"/>
          <w:b/>
          <w:sz w:val="20"/>
        </w:rPr>
      </w:pPr>
      <w:r>
        <w:rPr>
          <w:rFonts w:ascii="Times New Roman" w:hAnsi="Times New Roman"/>
          <w:b/>
          <w:sz w:val="20"/>
        </w:rPr>
        <w:t xml:space="preserve">Trust Company Complex, Ajeltake Island </w:t>
      </w:r>
    </w:p>
    <w:p>
      <w:pPr>
        <w:pStyle w:val="TextBody"/>
        <w:bidi w:val="0"/>
        <w:spacing w:before="0" w:after="0"/>
        <w:jc w:val="center"/>
        <w:rPr>
          <w:rFonts w:ascii="Times New Roman" w:hAnsi="Times New Roman"/>
          <w:b/>
          <w:sz w:val="20"/>
        </w:rPr>
      </w:pPr>
      <w:r>
        <w:rPr>
          <w:rFonts w:ascii="Times New Roman" w:hAnsi="Times New Roman"/>
          <w:b/>
          <w:sz w:val="20"/>
        </w:rPr>
        <w:t xml:space="preserve">P.O. Box 1405 </w:t>
      </w:r>
    </w:p>
    <w:p>
      <w:pPr>
        <w:pStyle w:val="TextBody"/>
        <w:bidi w:val="0"/>
        <w:spacing w:before="0" w:after="0"/>
        <w:jc w:val="center"/>
        <w:rPr>
          <w:rFonts w:ascii="Times New Roman" w:hAnsi="Times New Roman"/>
          <w:b/>
          <w:sz w:val="20"/>
        </w:rPr>
      </w:pPr>
      <w:r>
        <w:rPr>
          <w:rFonts w:ascii="Times New Roman" w:hAnsi="Times New Roman"/>
          <w:b/>
          <w:sz w:val="20"/>
        </w:rPr>
        <w:t xml:space="preserve">Majuro, Marshall Islands MH96960 </w:t>
      </w:r>
    </w:p>
    <w:p>
      <w:pPr>
        <w:pStyle w:val="TextBody"/>
        <w:bidi w:val="0"/>
        <w:spacing w:before="0" w:after="0"/>
        <w:jc w:val="center"/>
        <w:rPr>
          <w:rFonts w:ascii="Times New Roman" w:hAnsi="Times New Roman"/>
          <w:b/>
          <w:sz w:val="20"/>
        </w:rPr>
      </w:pPr>
      <w:r>
        <w:rPr>
          <w:rFonts w:ascii="Times New Roman" w:hAnsi="Times New Roman"/>
          <w:b/>
          <w:sz w:val="20"/>
        </w:rPr>
        <w:t xml:space="preserve">(011) +30 210 429 3223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Todd E. Mason, Esq. </w:t>
      </w:r>
    </w:p>
    <w:p>
      <w:pPr>
        <w:pStyle w:val="TextBody"/>
        <w:bidi w:val="0"/>
        <w:spacing w:before="0" w:after="0"/>
        <w:jc w:val="center"/>
        <w:rPr>
          <w:rFonts w:ascii="Times New Roman" w:hAnsi="Times New Roman"/>
          <w:b/>
          <w:sz w:val="20"/>
        </w:rPr>
      </w:pPr>
      <w:r>
        <w:rPr>
          <w:rFonts w:ascii="Times New Roman" w:hAnsi="Times New Roman"/>
          <w:b/>
          <w:sz w:val="20"/>
        </w:rPr>
        <w:t xml:space="preserve">Thompson Hine LLP </w:t>
      </w:r>
    </w:p>
    <w:p>
      <w:pPr>
        <w:pStyle w:val="TextBody"/>
        <w:bidi w:val="0"/>
        <w:spacing w:before="0" w:after="0"/>
        <w:jc w:val="center"/>
        <w:rPr>
          <w:rFonts w:ascii="Times New Roman" w:hAnsi="Times New Roman"/>
          <w:b/>
          <w:sz w:val="20"/>
        </w:rPr>
      </w:pPr>
      <w:r>
        <w:rPr>
          <w:rFonts w:ascii="Times New Roman" w:hAnsi="Times New Roman"/>
          <w:b/>
          <w:sz w:val="20"/>
        </w:rPr>
        <w:t xml:space="preserve">335 Madison Avenue </w:t>
      </w:r>
    </w:p>
    <w:p>
      <w:pPr>
        <w:pStyle w:val="TextBody"/>
        <w:bidi w:val="0"/>
        <w:spacing w:before="0" w:after="0"/>
        <w:jc w:val="center"/>
        <w:rPr>
          <w:rFonts w:ascii="Times New Roman" w:hAnsi="Times New Roman"/>
          <w:b/>
          <w:sz w:val="20"/>
        </w:rPr>
      </w:pPr>
      <w:r>
        <w:rPr>
          <w:rFonts w:ascii="Times New Roman" w:hAnsi="Times New Roman"/>
          <w:b/>
          <w:sz w:val="20"/>
        </w:rPr>
        <w:t xml:space="preserve">12th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10017 </w:t>
      </w:r>
    </w:p>
    <w:p>
      <w:pPr>
        <w:pStyle w:val="TextBody"/>
        <w:bidi w:val="0"/>
        <w:spacing w:before="0" w:after="0"/>
        <w:jc w:val="center"/>
        <w:rPr>
          <w:rFonts w:ascii="Times New Roman" w:hAnsi="Times New Roman"/>
          <w:b/>
          <w:sz w:val="20"/>
        </w:rPr>
      </w:pPr>
      <w:r>
        <w:rPr>
          <w:rFonts w:ascii="Times New Roman" w:hAnsi="Times New Roman"/>
          <w:b/>
          <w:sz w:val="20"/>
        </w:rPr>
        <w:t xml:space="preserve">(212) 908-3946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Approximate date of commencement of proposed sale to the public: From time to time after the effective date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If only securities being registered on this Form are being offered pursuant to dividend or interest reinvestment plans, please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any of the securities being registered on this Form are being offered on a delayed or continuous basis pursuant to Rule 415 under the Securities Act of 1933,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registration statement pursuant to General Instruction I.C. or a post-effective amendment thereto that shall become effective upon filing with the Commission pursuant to Rule 462(e) under the Securities Act,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240" w:after="0"/>
        <w:jc w:val="left"/>
        <w:rPr>
          <w:rFonts w:ascii="Times New Roman" w:hAnsi="Times New Roman"/>
          <w:b/>
          <w:sz w:val="20"/>
        </w:rPr>
      </w:pPr>
      <w:r>
        <w:rPr>
          <w:rFonts w:ascii="Times New Roman" w:hAnsi="Times New Roman"/>
          <w:b/>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May 11, 2023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36"/>
        </w:rPr>
      </w:pPr>
      <w:r>
        <w:rPr>
          <w:rFonts w:ascii="Times New Roman" w:hAnsi="Times New Roman"/>
          <w:b/>
          <w:sz w:val="36"/>
        </w:rPr>
        <w:t xml:space="preserve">$500,000,000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101917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19175" cy="6572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NAVIOS MARITIME PARTNERS L.P.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UNITS </w:t>
      </w:r>
    </w:p>
    <w:p>
      <w:pPr>
        <w:pStyle w:val="TextBody"/>
        <w:bidi w:val="0"/>
        <w:spacing w:before="240" w:after="0"/>
        <w:jc w:val="center"/>
        <w:rPr>
          <w:rFonts w:ascii="Times New Roman" w:hAnsi="Times New Roman"/>
          <w:b/>
          <w:sz w:val="28"/>
        </w:rPr>
      </w:pPr>
      <w:r>
        <w:rPr>
          <w:rFonts w:ascii="Times New Roman" w:hAnsi="Times New Roman"/>
          <w:b/>
          <w:sz w:val="28"/>
        </w:rPr>
        <w:t xml:space="preserve">REPRESENTING LIMITED PARTNERSHIP INTERESTS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in one or more offerings, offer and sell up to $500,000,000 aggregate principal amount of common units and/or debt securities. We may sell these securities to or through underwriters and also to other purchasers or through agents. We will set forth the names of any underwriters or agents in the accompanying prospectus supplement. Our common units are listed on the New York Stock Exchange under the symbol NMM. On May 10, 2023, the last reported sales price of our common units on the New York Stock Exchange was $22.75 per common unit. </w:t>
      </w:r>
    </w:p>
    <w:p>
      <w:pPr>
        <w:pStyle w:val="TextBody"/>
        <w:bidi w:val="0"/>
        <w:spacing w:before="240" w:after="0"/>
        <w:jc w:val="left"/>
        <w:rPr>
          <w:rFonts w:ascii="Times New Roman" w:hAnsi="Times New Roman"/>
          <w:sz w:val="20"/>
        </w:rPr>
      </w:pPr>
      <w:r>
        <w:rPr>
          <w:rFonts w:ascii="Times New Roman" w:hAnsi="Times New Roman"/>
          <w:sz w:val="20"/>
        </w:rPr>
        <w:t>Each time we sell securities pursuant to this prospectus, we will provide a supplement to this prospectus that contains specific information about the offeror, the offering and the specific terms of the securities offered. This prospectus may not be used to consummate a sale of securities by us unless accompanied by the applicable prospectus supplement. You should read this prospectus and the applicable prospectus supplement carefully before you invest in our securities.</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sz w:val="24"/>
        </w:rPr>
        <w:t>Investing in our common units involves risks that are described in the </w:t>
      </w:r>
      <w:hyperlink w:anchor="tx398843_3">
        <w:r>
          <w:rPr>
            <w:rStyle w:val="InternetLink"/>
            <w:rFonts w:ascii="Times New Roman" w:hAnsi="Times New Roman"/>
            <w:b/>
            <w:sz w:val="24"/>
          </w:rPr>
          <w:t>Risk Factors</w:t>
        </w:r>
      </w:hyperlink>
      <w:r>
        <w:rPr>
          <w:rFonts w:ascii="Times New Roman" w:hAnsi="Times New Roman"/>
          <w:b/>
          <w:sz w:val="24"/>
        </w:rPr>
        <w:t xml:space="preserve"> section beginning on page 11 of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consummate sales of securities unless it is accompanied by a 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into this prospectus. We have not, and the underwriters have not, authorized anyone to provide you with additional information or information different from that contained in or incorporated by reference into this prospectus. If anyone provides you with different or inconsistent information, you should not rely on it. We are not, and the underwriters are not, making an offer to sell these securities in any jurisdiction where an offer or sale is not permitted. You should assume that the information appearing in this prospectus is accurate only as of the date on the front cover of this prospectus. Our business, financial condition, results of operations and prospects may have changed since that date. </w:t>
      </w:r>
    </w:p>
    <w:p>
      <w:pPr>
        <w:pStyle w:val="TextBody"/>
        <w:bidi w:val="0"/>
        <w:spacing w:before="48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6"/>
        <w:gridCol w:w="260"/>
        <w:gridCol w:w="96"/>
        <w:gridCol w:w="421"/>
        <w:gridCol w:w="62"/>
      </w:tblGrid>
      <w:tr>
        <w:trPr/>
        <w:tc>
          <w:tcPr>
            <w:tcW w:w="9366"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1">
              <w:r>
                <w:rPr>
                  <w:rStyle w:val="InternetLink"/>
                  <w:rFonts w:ascii="Times New Roman" w:hAnsi="Times New Roman"/>
                  <w:sz w:val="20"/>
                </w:rPr>
                <w:t>ABOUT THIS PROSPECTUS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2">
              <w:r>
                <w:rPr>
                  <w:rStyle w:val="InternetLink"/>
                  <w:rFonts w:ascii="Times New Roman" w:hAnsi="Times New Roman"/>
                  <w:sz w:val="20"/>
                </w:rPr>
                <w:t>PROSPECTUS SUMMARY</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3">
              <w:r>
                <w:rPr>
                  <w:rStyle w:val="InternetLink"/>
                  <w:rFonts w:ascii="Times New Roman" w:hAnsi="Times New Roman"/>
                  <w:sz w:val="20"/>
                </w:rPr>
                <w:t>RISK FACTORS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4">
              <w:r>
                <w:rPr>
                  <w:rStyle w:val="InternetLink"/>
                  <w:rFonts w:ascii="Times New Roman" w:hAnsi="Times New Roman"/>
                  <w:sz w:val="20"/>
                </w:rPr>
                <w:t>OFFER STATISTICS AND EXPECTED TIMETABLE</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5">
              <w:r>
                <w:rPr>
                  <w:rStyle w:val="InternetLink"/>
                  <w:rFonts w:ascii="Times New Roman" w:hAnsi="Times New Roman"/>
                  <w:sz w:val="20"/>
                </w:rPr>
                <w:t>FORWARD-LOOKING STATEMENTS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6">
              <w:r>
                <w:rPr>
                  <w:rStyle w:val="InternetLink"/>
                  <w:rFonts w:ascii="Times New Roman" w:hAnsi="Times New Roman"/>
                  <w:sz w:val="20"/>
                </w:rPr>
                <w:t>OFFER AND LISTING DETAILS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7">
              <w:r>
                <w:rPr>
                  <w:rStyle w:val="InternetLink"/>
                  <w:rFonts w:ascii="Times New Roman" w:hAnsi="Times New Roman"/>
                  <w:sz w:val="20"/>
                </w:rPr>
                <w:t>USE OF PROCEEDS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8">
              <w:r>
                <w:rPr>
                  <w:rStyle w:val="InternetLink"/>
                  <w:rFonts w:ascii="Times New Roman" w:hAnsi="Times New Roman"/>
                  <w:sz w:val="20"/>
                </w:rPr>
                <w:t>CAPITALIZATION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9">
              <w:r>
                <w:rPr>
                  <w:rStyle w:val="InternetLink"/>
                  <w:rFonts w:ascii="Times New Roman" w:hAnsi="Times New Roman"/>
                  <w:sz w:val="20"/>
                </w:rPr>
                <w:t>INFORMATION REGARDING THE MARKET FOR OUR COMMON UNITS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10">
              <w:r>
                <w:rPr>
                  <w:rStyle w:val="InternetLink"/>
                  <w:rFonts w:ascii="Times New Roman" w:hAnsi="Times New Roman"/>
                  <w:sz w:val="20"/>
                </w:rPr>
                <w:t>THE SECURITIES WE MAY OFFER</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11">
              <w:r>
                <w:rPr>
                  <w:rStyle w:val="InternetLink"/>
                  <w:rFonts w:ascii="Times New Roman" w:hAnsi="Times New Roman"/>
                  <w:sz w:val="20"/>
                </w:rPr>
                <w:t>COMMON UNITS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12">
              <w:r>
                <w:rPr>
                  <w:rStyle w:val="InternetLink"/>
                  <w:rFonts w:ascii="Times New Roman" w:hAnsi="Times New Roman"/>
                  <w:sz w:val="20"/>
                </w:rPr>
                <w:t>DEBT SECURITIES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13">
              <w:r>
                <w:rPr>
                  <w:rStyle w:val="InternetLink"/>
                  <w:rFonts w:ascii="Times New Roman" w:hAnsi="Times New Roman"/>
                  <w:sz w:val="20"/>
                </w:rPr>
                <w:t>LEGAL OWNERSHIP OF SECURITIES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14">
              <w:r>
                <w:rPr>
                  <w:rStyle w:val="InternetLink"/>
                  <w:rFonts w:ascii="Times New Roman" w:hAnsi="Times New Roman"/>
                  <w:sz w:val="20"/>
                </w:rPr>
                <w:t>PLAN OF DISTRIBUTION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15">
              <w:r>
                <w:rPr>
                  <w:rStyle w:val="InternetLink"/>
                  <w:rFonts w:ascii="Times New Roman" w:hAnsi="Times New Roman"/>
                  <w:sz w:val="20"/>
                </w:rPr>
                <w:t>OUR CASH DISTRIBUTION POLICY AND RESTRICTIONS ON DISTRIBUTIONS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16">
              <w:r>
                <w:rPr>
                  <w:rStyle w:val="InternetLink"/>
                  <w:rFonts w:ascii="Times New Roman" w:hAnsi="Times New Roman"/>
                  <w:sz w:val="20"/>
                </w:rPr>
                <w:t>MATERIAL U.S. FEDERAL INCOME TAX CONSIDERATIONS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17">
              <w:r>
                <w:rPr>
                  <w:rStyle w:val="InternetLink"/>
                  <w:rFonts w:ascii="Times New Roman" w:hAnsi="Times New Roman"/>
                  <w:sz w:val="20"/>
                </w:rPr>
                <w:t>MARSHALL ISLANDS TAX CONSEQUENCES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18">
              <w:r>
                <w:rPr>
                  <w:rStyle w:val="InternetLink"/>
                  <w:rFonts w:ascii="Times New Roman" w:hAnsi="Times New Roman"/>
                  <w:sz w:val="20"/>
                </w:rPr>
                <w:t>LEGAL MATTERS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19">
              <w:r>
                <w:rPr>
                  <w:rStyle w:val="InternetLink"/>
                  <w:rFonts w:ascii="Times New Roman" w:hAnsi="Times New Roman"/>
                  <w:sz w:val="20"/>
                </w:rPr>
                <w:t>EXPERTS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20">
              <w:r>
                <w:rPr>
                  <w:rStyle w:val="InternetLink"/>
                  <w:rFonts w:ascii="Times New Roman" w:hAnsi="Times New Roman"/>
                  <w:sz w:val="20"/>
                </w:rPr>
                <w:t>EXPENSES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21">
              <w:r>
                <w:rPr>
                  <w:rStyle w:val="InternetLink"/>
                  <w:rFonts w:ascii="Times New Roman" w:hAnsi="Times New Roman"/>
                  <w:sz w:val="20"/>
                </w:rPr>
                <w:t>INCORPORATION OF CERTAIN INFORMATION BY REFERENCE</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22">
              <w:r>
                <w:rPr>
                  <w:rStyle w:val="InternetLink"/>
                  <w:rFonts w:ascii="Times New Roman" w:hAnsi="Times New Roman"/>
                  <w:sz w:val="20"/>
                </w:rPr>
                <w:t>WHERE YOU CAN FIND ADDITIONAL INFORMATION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98843_23">
              <w:r>
                <w:rPr>
                  <w:rStyle w:val="InternetLink"/>
                  <w:rFonts w:ascii="Times New Roman" w:hAnsi="Times New Roman"/>
                  <w:sz w:val="20"/>
                </w:rPr>
                <w:t xml:space="preserve">ENFORCEABILITY OF CIVIL LIABILITIES AND INDEMNIFICATION FOR SECURITIES ACT LIABILITIES </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tx398843_1"/>
      <w:bookmarkEnd w:id="3"/>
      <w:r>
        <w:rPr>
          <w:rFonts w:ascii="Times New Roman" w:hAnsi="Times New Roman"/>
          <w:b/>
          <w:sz w:val="20"/>
        </w:rPr>
        <w:t xml:space="preserve">ABOUT THIS PROSPECTUS </w:t>
      </w:r>
    </w:p>
    <w:p>
      <w:pPr>
        <w:pStyle w:val="TextBody"/>
        <w:bidi w:val="0"/>
        <w:spacing w:before="120" w:after="0"/>
        <w:jc w:val="left"/>
        <w:rPr>
          <w:rFonts w:ascii="Times New Roman" w:hAnsi="Times New Roman"/>
          <w:i/>
          <w:sz w:val="20"/>
        </w:rPr>
      </w:pPr>
      <w:r>
        <w:rPr>
          <w:rFonts w:ascii="Times New Roman" w:hAnsi="Times New Roman"/>
          <w:i/>
          <w:sz w:val="20"/>
        </w:rPr>
        <w:t xml:space="preserve">As used in this prospectus, references to Navios Maritime Partners L.P., the Company, we, our, us and similar terms refer to Navios Maritime Partners Limited Partnership.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prospectus to Navios Holdings refer to Navios Maritime Holdings Inc. and its subsidiaries, provided, however, it shall not include Navios Maritime Partners L.P. to the extent it may otherwise be deemed a subsidiary. References in this prospectus to Olympos Maritime or the General Partner refer to Olympos Maritime Ltd., our General Partner. References in this prospectus supplement to our IPO refer to our initial public offering, which was consummated on November 16, 2007.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applicable prospectus supplement do not constitute an offer to sell or the solicitation of an offer to buy any securities other than the registered securities to which they relate. We are not making offers to sell our common units or any other securities described in this prospectus in any jurisdiction in which an offer or solicitation is not authorized or in which the person making such offer or solicitation is not qualified to do so or to anyone to whom it is unlawful to make an offer or solicitation. This prospectus is part of a registration statement that we filed with the U.S. Securities and Exchange Commission (the SEC), utilizing a shelf registration process. Under this shelf process, we may sell any combination of the securities described in this prospectus in one or more offerings up to a total dollar amount of U.S. $500,000,000. We have provided to you in this prospectus a general description of the securities we may offer. Each time we sell securities, we will provide a prospectus supplement that will contain specific information about the terms of that offering. In any applicable prospectus supplements, we may add to, update or change any of the information contained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a general description of the securities we may offer. We may provide specific terms of securities to be offered in one or more supplements to this prospectus. We may also provide a specific plan of distribution for any securities to be offered in a prospectus supplement. Prospectus supplements may also add, update or change information in this prospectus. If the information varies between this prospectus and the accompanying prospectus supplement, you should rely on the information in the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Before purchasing any securities, you should carefully read both this prospectus and any prospectus supplement, together with the additional information as described below under the heading Incorporation of Certain Information by Reference. You should rely only on the information contained or incorporated by reference in this prospectus, any prospectus supplement, and any free writing prospectus prepared by or on behalf of us or to which we have referred you. Neither we nor any underwriters have authorized any other person to provide you with different information. If anyone provides you with different or inconsistent information, you should not rely on it. We take no responsibility for, and can provide no assurance as to the reliability of, any other information that others may give you. You should assume that the information contained in this prospectus, any prospectus supplement, or any free writing prospectus is accurate only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x398843_2"/>
      <w:bookmarkEnd w:id="4"/>
      <w:r>
        <w:rPr>
          <w:rFonts w:ascii="Times New Roman" w:hAnsi="Times New Roman"/>
          <w:b/>
          <w:sz w:val="20"/>
          <w:bdr w:val="single" w:sz="8" w:space="1" w:color="000000"/>
        </w:rPr>
        <w:t xml:space="preserve">PROSPECTUS SUMMARY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is only a summary. We urge you to carefully read this entire prospectus and the documents incorporated by reference herein, including our financial statements and the related notes and the information in the section entitled Managements Discussion and Analysis of Financial Condition and Results of Operations. As an investor or prospective investor, you should also review carefully the sections entitled Cautionary Statement Regarding Forward-Looking Statements and Risk Factors in this prospectus (beginning on page 11) and in our Annual Report on Form 20-F for the year ended December 31, 2022, which is incorporated by reference herein. Unless otherwise indicated, all data regarding our fleet and the terms of our charters in this prospectus is as of May 8, 2023.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Business Overview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Navios Partners is an international owner and operator of dry bulk and containerships (the Dry Cargo) and tanker vessels, formed on August 7, 2007 under the laws of the Republic of the Marshall Islands as a limited partnership, under the Marshall Islands Limited Partnership Act. Olympos Maritime Ltd. is Navios Partners General Partner and currently owns all the general partnership units representing an approximately 2.0% ownership interest in Navios Partners based on all outstanding common units and general partnership units.</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Navios Partners is engaged in the seaborne transportation services of a wide range of liquid and dry cargo commodities including crude oil, refined petroleum, iron ore, oil, coal, grain and fertilizer and also containers, chartering its vessels under short, medium and long-term charters. The operations of Navios Partners are managed by Navios Shipmanagement Inc. (the Manager), and Navios Tankers Management Inc. (Tankers Manager and together with the Manager, the Managers) from their offices in Greece, Singapore and Monaco.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executive offices of Navios Partners are located at c/o Navios Maritime Partners L.P., 7 Avenue de Grande Bretagne, Office 11B2, Monte Carlo, MC 98000 Monaco, and its telephone number is (011) + (377) 9798-2140.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SEC maintains an internet site that contains reports, proxy and information statements, and other information regarding issuers that file electronically with the SEC at http://www.sec.gov. The address of the Companys internet site is https://www.navios-mlp.com. Information contained on this website does not constitute part of this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Fleet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Navios Partners fleet consists of 81 drybulk vessels, 47 containerships and 45 tanker vessels, including one newbuilding Capesize chartered-in vessel under bareboat contract expected to be delivered in the second quarter of 2023, six newbuilding Aframax/LR2 vessels expected to be delivered in 2024 and the first half of 2025, two newbuilding MR2 Product Tanker chartered-in vessels under bareboat contracts expected to be delivered in the second half of 2025 and the first half of 2026 and 12 newbuilding Containerships expected to be delivered by the second half of 2023, in 2024 and by the first half of 2025. The fleet excludes one Ultra-Handymax and one LR1 Product Tanker vessels agreed to be sold.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generate revenues by charging our customers for the use of our vessels to transport their dry cargo commodities, containers, crude oil and/or refined petroleum products. In general, the vessels in our fleet are chartered-out under time charters, which range in length from one to twelve years at inception. From time to time, we operate vessels in the spot market until the vessels have been chartered out under short-term, medium and long-term charters.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provides summary information about our fleet as of May 8, 2023: </w:t>
      </w:r>
    </w:p>
    <w:p>
      <w:pPr>
        <w:pStyle w:val="TextBody"/>
        <w:bidi w:val="0"/>
        <w:spacing w:before="0" w:after="0"/>
        <w:jc w:val="left"/>
        <w:rPr>
          <w:bdr w:val="single" w:sz="8" w:space="1" w:color="000000"/>
        </w:rPr>
      </w:pPr>
      <w:r>
        <w:rPr>
          <w:bdr w:val="single" w:sz="8" w:space="1" w:color="000000"/>
        </w:rPr>
        <w:t> </w:t>
      </w:r>
    </w:p>
    <w:tbl>
      <w:tblPr>
        <w:tblW w:w="10895" w:type="dxa"/>
        <w:jc w:val="center"/>
        <w:tblInd w:w="0" w:type="dxa"/>
        <w:tblLayout w:type="fixed"/>
        <w:tblCellMar>
          <w:top w:w="0" w:type="dxa"/>
          <w:left w:w="0" w:type="dxa"/>
          <w:bottom w:w="0" w:type="dxa"/>
          <w:right w:w="0" w:type="dxa"/>
        </w:tblCellMar>
      </w:tblPr>
      <w:tblGrid>
        <w:gridCol w:w="1715"/>
        <w:gridCol w:w="120"/>
        <w:gridCol w:w="1625"/>
        <w:gridCol w:w="120"/>
        <w:gridCol w:w="515"/>
        <w:gridCol w:w="120"/>
        <w:gridCol w:w="75"/>
        <w:gridCol w:w="860"/>
        <w:gridCol w:w="60"/>
        <w:gridCol w:w="120"/>
        <w:gridCol w:w="159"/>
        <w:gridCol w:w="1151"/>
        <w:gridCol w:w="60"/>
        <w:gridCol w:w="120"/>
        <w:gridCol w:w="2165"/>
        <w:gridCol w:w="120"/>
        <w:gridCol w:w="175"/>
        <w:gridCol w:w="1555"/>
        <w:gridCol w:w="60"/>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Owned Drybulk Vessels</w:t>
            </w:r>
          </w:p>
        </w:tc>
        <w:tc>
          <w:tcPr>
            <w:tcW w:w="120" w:type="dxa"/>
            <w:tcBorders/>
            <w:vAlign w:val="bottom"/>
          </w:tcPr>
          <w:p>
            <w:pPr>
              <w:pStyle w:val="TableContents"/>
              <w:bidi w:val="0"/>
              <w:spacing w:before="0" w:after="283"/>
              <w:jc w:val="left"/>
              <w:rPr/>
            </w:pPr>
            <w:r>
              <w:rPr/>
              <w:t>  </w:t>
            </w:r>
          </w:p>
        </w:tc>
        <w:tc>
          <w:tcPr>
            <w:tcW w:w="1625" w:type="dxa"/>
            <w:tcBorders>
              <w:bottom w:val="single" w:sz="8" w:space="0" w:color="000000"/>
            </w:tcBorders>
            <w:tcMar>
              <w:bottom w:w="28" w:type="dxa"/>
            </w:tcMar>
            <w:vAlign w:val="bottom"/>
          </w:tcPr>
          <w:p>
            <w:pPr>
              <w:pStyle w:val="TableContents"/>
              <w:bidi w:val="0"/>
              <w:spacing w:before="0" w:after="283"/>
              <w:jc w:val="center"/>
              <w:rPr>
                <w:b/>
              </w:rPr>
            </w:pPr>
            <w:r>
              <w:rPr>
                <w:b/>
              </w:rPr>
              <w:t>Type</w:t>
            </w:r>
          </w:p>
        </w:tc>
        <w:tc>
          <w:tcPr>
            <w:tcW w:w="120" w:type="dxa"/>
            <w:tcBorders/>
            <w:vAlign w:val="bottom"/>
          </w:tcPr>
          <w:p>
            <w:pPr>
              <w:pStyle w:val="TableContents"/>
              <w:bidi w:val="0"/>
              <w:spacing w:before="0" w:after="283"/>
              <w:jc w:val="left"/>
              <w:rPr/>
            </w:pPr>
            <w:r>
              <w:rPr/>
              <w:t>  </w:t>
            </w:r>
          </w:p>
        </w:tc>
        <w:tc>
          <w:tcPr>
            <w:tcW w:w="515" w:type="dxa"/>
            <w:tcBorders>
              <w:bottom w:val="single" w:sz="8" w:space="0" w:color="000000"/>
            </w:tcBorders>
            <w:tcMar>
              <w:bottom w:w="28" w:type="dxa"/>
            </w:tcMar>
            <w:vAlign w:val="bottom"/>
          </w:tcPr>
          <w:p>
            <w:pPr>
              <w:pStyle w:val="TableContents"/>
              <w:bidi w:val="0"/>
              <w:spacing w:before="0" w:after="283"/>
              <w:jc w:val="center"/>
              <w:rPr>
                <w:b/>
              </w:rPr>
            </w:pPr>
            <w:r>
              <w:rPr>
                <w:b/>
              </w:rPr>
              <w:t>Built</w:t>
            </w:r>
          </w:p>
        </w:tc>
        <w:tc>
          <w:tcPr>
            <w:tcW w:w="12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Capacity</w:t>
              <w:br/>
              <w:t>(DWT)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Charter-Out</w:t>
              <w:br/>
              <w:t>Rate(1)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Index(2)</w:t>
            </w:r>
          </w:p>
        </w:tc>
        <w:tc>
          <w:tcPr>
            <w:tcW w:w="120" w:type="dxa"/>
            <w:tcBorders/>
            <w:vAlign w:val="bottom"/>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Expiration Date(3)</w:t>
            </w:r>
          </w:p>
        </w:tc>
        <w:tc>
          <w:tcPr>
            <w:tcW w:w="60" w:type="dxa"/>
            <w:tcBorders/>
            <w:vAlign w:val="bottom"/>
          </w:tcPr>
          <w:p>
            <w:pPr>
              <w:pStyle w:val="TableContents"/>
              <w:bidi w:val="0"/>
              <w:spacing w:before="0" w:after="283"/>
              <w:jc w:val="left"/>
              <w:rPr/>
            </w:pPr>
            <w:r>
              <w:rPr/>
              <w:t> </w:t>
            </w:r>
          </w:p>
        </w:tc>
      </w:tr>
      <w:tr>
        <w:trPr/>
        <w:tc>
          <w:tcPr>
            <w:tcW w:w="1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Christine B</w:t>
            </w:r>
          </w:p>
        </w:tc>
        <w:tc>
          <w:tcPr>
            <w:tcW w:w="120" w:type="dxa"/>
            <w:tcBorders/>
            <w:shd w:fill="CCEEFF" w:val="clear"/>
            <w:vAlign w:val="bottom"/>
          </w:tcPr>
          <w:p>
            <w:pPr>
              <w:pStyle w:val="TableContents"/>
              <w:bidi w:val="0"/>
              <w:spacing w:before="0" w:after="283"/>
              <w:jc w:val="left"/>
              <w:rPr/>
            </w:pPr>
            <w:r>
              <w:rPr/>
              <w:t>  </w:t>
            </w:r>
          </w:p>
        </w:tc>
        <w:tc>
          <w:tcPr>
            <w:tcW w:w="1625" w:type="dxa"/>
            <w:tcBorders/>
            <w:shd w:fill="CCEEFF" w:val="clear"/>
          </w:tcPr>
          <w:p>
            <w:pPr>
              <w:pStyle w:val="TableContents"/>
              <w:bidi w:val="0"/>
              <w:spacing w:before="0" w:after="283"/>
              <w:jc w:val="center"/>
              <w:rPr/>
            </w:pPr>
            <w:r>
              <w:rPr/>
              <w:t>Ultra-Handymax</w:t>
            </w:r>
          </w:p>
        </w:tc>
        <w:tc>
          <w:tcPr>
            <w:tcW w:w="120" w:type="dxa"/>
            <w:tcBorders/>
            <w:shd w:fill="CCEEFF" w:val="clear"/>
            <w:vAlign w:val="bottom"/>
          </w:tcPr>
          <w:p>
            <w:pPr>
              <w:pStyle w:val="TableContents"/>
              <w:bidi w:val="0"/>
              <w:spacing w:before="0" w:after="283"/>
              <w:jc w:val="left"/>
              <w:rPr/>
            </w:pPr>
            <w:r>
              <w:rPr/>
              <w:t>  </w:t>
            </w:r>
          </w:p>
        </w:tc>
        <w:tc>
          <w:tcPr>
            <w:tcW w:w="515" w:type="dxa"/>
            <w:tcBorders/>
            <w:shd w:fill="CCEEFF" w:val="clear"/>
          </w:tcPr>
          <w:p>
            <w:pPr>
              <w:pStyle w:val="TableContents"/>
              <w:bidi w:val="0"/>
              <w:spacing w:before="0" w:after="283"/>
              <w:jc w:val="center"/>
              <w:rPr/>
            </w:pPr>
            <w:r>
              <w:rPr/>
              <w:t>2009</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right"/>
              <w:rPr/>
            </w:pPr>
            <w:r>
              <w:rPr/>
              <w:t>58,058</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tcPr>
          <w:p>
            <w:pPr>
              <w:pStyle w:val="TableContents"/>
              <w:bidi w:val="0"/>
              <w:spacing w:before="0" w:after="283"/>
              <w:jc w:val="left"/>
              <w:rPr/>
            </w:pPr>
            <w:r>
              <w:rPr/>
              <w:t> </w:t>
            </w:r>
          </w:p>
        </w:tc>
        <w:tc>
          <w:tcPr>
            <w:tcW w:w="1151"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65" w:type="dxa"/>
            <w:tcBorders/>
            <w:shd w:fill="CCEEFF" w:val="clear"/>
          </w:tcPr>
          <w:p>
            <w:pPr>
              <w:pStyle w:val="TableContents"/>
              <w:bidi w:val="0"/>
              <w:spacing w:before="0" w:after="283"/>
              <w:jc w:val="center"/>
              <w:rPr/>
            </w:pPr>
            <w:r>
              <w:rPr/>
              <w:t>100.0% average BSI 58 10TC</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tcPr>
          <w:p>
            <w:pPr>
              <w:pStyle w:val="TableContents"/>
              <w:bidi w:val="0"/>
              <w:spacing w:before="0" w:after="283"/>
              <w:jc w:val="left"/>
              <w:rPr/>
            </w:pPr>
            <w:r>
              <w:rPr/>
              <w:t> </w:t>
            </w:r>
          </w:p>
        </w:tc>
        <w:tc>
          <w:tcPr>
            <w:tcW w:w="1555" w:type="dxa"/>
            <w:tcBorders/>
            <w:shd w:fill="CCEEFF" w:val="clear"/>
          </w:tcPr>
          <w:p>
            <w:pPr>
              <w:pStyle w:val="TableContents"/>
              <w:bidi w:val="0"/>
              <w:spacing w:before="0" w:after="283"/>
              <w:jc w:val="right"/>
              <w:rPr/>
            </w:pPr>
            <w:r>
              <w:rPr/>
              <w:t>Jul-23</w:t>
            </w:r>
          </w:p>
        </w:tc>
        <w:tc>
          <w:tcPr>
            <w:tcW w:w="60" w:type="dxa"/>
            <w:tcBorders/>
            <w:shd w:fill="CCEEFF" w:val="clear"/>
          </w:tcPr>
          <w:p>
            <w:pPr>
              <w:pStyle w:val="TableContents"/>
              <w:bidi w:val="0"/>
              <w:spacing w:before="0" w:after="283"/>
              <w:jc w:val="left"/>
              <w:rPr/>
            </w:pPr>
            <w:r>
              <w:rPr/>
              <w:t> </w:t>
            </w:r>
          </w:p>
        </w:tc>
      </w:tr>
      <w:tr>
        <w:trPr/>
        <w:tc>
          <w:tcPr>
            <w:tcW w:w="1715" w:type="dxa"/>
            <w:tcBorders/>
          </w:tcPr>
          <w:p>
            <w:pPr>
              <w:pStyle w:val="TableContents"/>
              <w:bidi w:val="0"/>
              <w:spacing w:before="0" w:after="0"/>
              <w:jc w:val="left"/>
              <w:rPr>
                <w:rFonts w:ascii="Times New Roman" w:hAnsi="Times New Roman"/>
                <w:sz w:val="20"/>
              </w:rPr>
            </w:pPr>
            <w:r>
              <w:rPr>
                <w:rFonts w:ascii="Times New Roman" w:hAnsi="Times New Roman"/>
                <w:sz w:val="20"/>
              </w:rPr>
              <w:t>Navios Celestial</w:t>
            </w:r>
          </w:p>
        </w:tc>
        <w:tc>
          <w:tcPr>
            <w:tcW w:w="120" w:type="dxa"/>
            <w:tcBorders/>
            <w:vAlign w:val="bottom"/>
          </w:tcPr>
          <w:p>
            <w:pPr>
              <w:pStyle w:val="TableContents"/>
              <w:bidi w:val="0"/>
              <w:spacing w:before="0" w:after="283"/>
              <w:jc w:val="left"/>
              <w:rPr/>
            </w:pPr>
            <w:r>
              <w:rPr/>
              <w:t>  </w:t>
            </w:r>
          </w:p>
        </w:tc>
        <w:tc>
          <w:tcPr>
            <w:tcW w:w="1625" w:type="dxa"/>
            <w:tcBorders/>
          </w:tcPr>
          <w:p>
            <w:pPr>
              <w:pStyle w:val="TableContents"/>
              <w:bidi w:val="0"/>
              <w:spacing w:before="0" w:after="283"/>
              <w:jc w:val="center"/>
              <w:rPr/>
            </w:pPr>
            <w:r>
              <w:rPr/>
              <w:t>Ultra-Handymax</w:t>
            </w:r>
          </w:p>
        </w:tc>
        <w:tc>
          <w:tcPr>
            <w:tcW w:w="120" w:type="dxa"/>
            <w:tcBorders/>
            <w:vAlign w:val="bottom"/>
          </w:tcPr>
          <w:p>
            <w:pPr>
              <w:pStyle w:val="TableContents"/>
              <w:bidi w:val="0"/>
              <w:spacing w:before="0" w:after="283"/>
              <w:jc w:val="left"/>
              <w:rPr/>
            </w:pPr>
            <w:r>
              <w:rPr/>
              <w:t>  </w:t>
            </w:r>
          </w:p>
        </w:tc>
        <w:tc>
          <w:tcPr>
            <w:tcW w:w="515" w:type="dxa"/>
            <w:tcBorders/>
          </w:tcPr>
          <w:p>
            <w:pPr>
              <w:pStyle w:val="TableContents"/>
              <w:bidi w:val="0"/>
              <w:spacing w:before="0" w:after="283"/>
              <w:jc w:val="center"/>
              <w:rPr/>
            </w:pPr>
            <w:r>
              <w:rPr/>
              <w:t>2009</w:t>
            </w:r>
          </w:p>
        </w:tc>
        <w:tc>
          <w:tcPr>
            <w:tcW w:w="12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58,063</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pPr>
            <w:r>
              <w:rPr/>
              <w:t>$</w:t>
            </w:r>
          </w:p>
        </w:tc>
        <w:tc>
          <w:tcPr>
            <w:tcW w:w="1151" w:type="dxa"/>
            <w:tcBorders/>
          </w:tcPr>
          <w:p>
            <w:pPr>
              <w:pStyle w:val="TableContents"/>
              <w:bidi w:val="0"/>
              <w:spacing w:before="0" w:after="283"/>
              <w:jc w:val="right"/>
              <w:rPr/>
            </w:pPr>
            <w:r>
              <w:rPr/>
              <w:t>11,400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5" w:type="dxa"/>
            <w:tcBorders/>
          </w:tcPr>
          <w:p>
            <w:pPr>
              <w:pStyle w:val="TableContents"/>
              <w:bidi w:val="0"/>
              <w:spacing w:before="0" w:after="283"/>
              <w:jc w:val="center"/>
              <w:rPr/>
            </w:pPr>
            <w:r>
              <w:rPr/>
              <w:t>No</w:t>
            </w:r>
          </w:p>
        </w:tc>
        <w:tc>
          <w:tcPr>
            <w:tcW w:w="120" w:type="dxa"/>
            <w:tcBorders/>
            <w:vAlign w:val="bottom"/>
          </w:tcPr>
          <w:p>
            <w:pPr>
              <w:pStyle w:val="TableContents"/>
              <w:bidi w:val="0"/>
              <w:spacing w:before="0" w:after="283"/>
              <w:jc w:val="left"/>
              <w:rPr/>
            </w:pPr>
            <w:r>
              <w:rPr/>
              <w:t>  </w:t>
            </w:r>
          </w:p>
        </w:tc>
        <w:tc>
          <w:tcPr>
            <w:tcW w:w="175" w:type="dxa"/>
            <w:tcBorders/>
          </w:tcPr>
          <w:p>
            <w:pPr>
              <w:pStyle w:val="TableContents"/>
              <w:bidi w:val="0"/>
              <w:spacing w:before="0" w:after="283"/>
              <w:jc w:val="left"/>
              <w:rPr/>
            </w:pPr>
            <w:r>
              <w:rPr/>
              <w:t> </w:t>
            </w:r>
          </w:p>
        </w:tc>
        <w:tc>
          <w:tcPr>
            <w:tcW w:w="1555" w:type="dxa"/>
            <w:tcBorders/>
          </w:tcPr>
          <w:p>
            <w:pPr>
              <w:pStyle w:val="TableContents"/>
              <w:bidi w:val="0"/>
              <w:spacing w:before="0" w:after="283"/>
              <w:jc w:val="right"/>
              <w:rPr/>
            </w:pPr>
            <w:r>
              <w:rPr/>
              <w:t>Sep-23</w:t>
            </w:r>
          </w:p>
        </w:tc>
        <w:tc>
          <w:tcPr>
            <w:tcW w:w="60" w:type="dxa"/>
            <w:tcBorders/>
          </w:tcPr>
          <w:p>
            <w:pPr>
              <w:pStyle w:val="TableContents"/>
              <w:bidi w:val="0"/>
              <w:spacing w:before="0" w:after="283"/>
              <w:jc w:val="left"/>
              <w:rPr/>
            </w:pPr>
            <w:r>
              <w:rPr/>
              <w:t> </w:t>
            </w:r>
          </w:p>
        </w:tc>
      </w:tr>
      <w:tr>
        <w:trPr/>
        <w:tc>
          <w:tcPr>
            <w:tcW w:w="1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Vega</w:t>
            </w:r>
          </w:p>
        </w:tc>
        <w:tc>
          <w:tcPr>
            <w:tcW w:w="120" w:type="dxa"/>
            <w:tcBorders/>
            <w:shd w:fill="CCEEFF" w:val="clear"/>
            <w:vAlign w:val="bottom"/>
          </w:tcPr>
          <w:p>
            <w:pPr>
              <w:pStyle w:val="TableContents"/>
              <w:bidi w:val="0"/>
              <w:spacing w:before="0" w:after="283"/>
              <w:jc w:val="left"/>
              <w:rPr/>
            </w:pPr>
            <w:r>
              <w:rPr/>
              <w:t>  </w:t>
            </w:r>
          </w:p>
        </w:tc>
        <w:tc>
          <w:tcPr>
            <w:tcW w:w="1625" w:type="dxa"/>
            <w:tcBorders/>
            <w:shd w:fill="CCEEFF" w:val="clear"/>
          </w:tcPr>
          <w:p>
            <w:pPr>
              <w:pStyle w:val="TableContents"/>
              <w:bidi w:val="0"/>
              <w:spacing w:before="0" w:after="283"/>
              <w:jc w:val="center"/>
              <w:rPr/>
            </w:pPr>
            <w:r>
              <w:rPr/>
              <w:t>Ultra-Handymax</w:t>
            </w:r>
          </w:p>
        </w:tc>
        <w:tc>
          <w:tcPr>
            <w:tcW w:w="120" w:type="dxa"/>
            <w:tcBorders/>
            <w:shd w:fill="CCEEFF" w:val="clear"/>
            <w:vAlign w:val="bottom"/>
          </w:tcPr>
          <w:p>
            <w:pPr>
              <w:pStyle w:val="TableContents"/>
              <w:bidi w:val="0"/>
              <w:spacing w:before="0" w:after="283"/>
              <w:jc w:val="left"/>
              <w:rPr/>
            </w:pPr>
            <w:r>
              <w:rPr/>
              <w:t>  </w:t>
            </w:r>
          </w:p>
        </w:tc>
        <w:tc>
          <w:tcPr>
            <w:tcW w:w="515" w:type="dxa"/>
            <w:tcBorders/>
            <w:shd w:fill="CCEEFF" w:val="clear"/>
          </w:tcPr>
          <w:p>
            <w:pPr>
              <w:pStyle w:val="TableContents"/>
              <w:bidi w:val="0"/>
              <w:spacing w:before="0" w:after="283"/>
              <w:jc w:val="center"/>
              <w:rPr/>
            </w:pPr>
            <w:r>
              <w:rPr/>
              <w:t>2009</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right"/>
              <w:rPr/>
            </w:pPr>
            <w:r>
              <w:rPr/>
              <w:t>58,792</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tcPr>
          <w:p>
            <w:pPr>
              <w:pStyle w:val="TableContents"/>
              <w:bidi w:val="0"/>
              <w:spacing w:before="0" w:after="283"/>
              <w:jc w:val="left"/>
              <w:rPr/>
            </w:pPr>
            <w:r>
              <w:rPr/>
              <w:t>$</w:t>
            </w:r>
          </w:p>
        </w:tc>
        <w:tc>
          <w:tcPr>
            <w:tcW w:w="1151" w:type="dxa"/>
            <w:tcBorders/>
            <w:shd w:fill="CCEEFF" w:val="clear"/>
          </w:tcPr>
          <w:p>
            <w:pPr>
              <w:pStyle w:val="TableContents"/>
              <w:bidi w:val="0"/>
              <w:spacing w:before="0" w:after="283"/>
              <w:jc w:val="right"/>
              <w:rPr/>
            </w:pPr>
            <w:r>
              <w:rPr/>
              <w:t>14,250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65" w:type="dxa"/>
            <w:tcBorders/>
            <w:shd w:fill="CCEEFF" w:val="clear"/>
          </w:tcPr>
          <w:p>
            <w:pPr>
              <w:pStyle w:val="TableContents"/>
              <w:bidi w:val="0"/>
              <w:spacing w:before="0" w:after="283"/>
              <w:jc w:val="center"/>
              <w:rPr/>
            </w:pPr>
            <w:r>
              <w:rPr/>
              <w:t>No</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tcPr>
          <w:p>
            <w:pPr>
              <w:pStyle w:val="TableContents"/>
              <w:bidi w:val="0"/>
              <w:spacing w:before="0" w:after="283"/>
              <w:jc w:val="left"/>
              <w:rPr/>
            </w:pPr>
            <w:r>
              <w:rPr/>
              <w:t> </w:t>
            </w:r>
          </w:p>
        </w:tc>
        <w:tc>
          <w:tcPr>
            <w:tcW w:w="1555" w:type="dxa"/>
            <w:tcBorders/>
            <w:shd w:fill="CCEEFF" w:val="clear"/>
          </w:tcPr>
          <w:p>
            <w:pPr>
              <w:pStyle w:val="TableContents"/>
              <w:bidi w:val="0"/>
              <w:spacing w:before="0" w:after="283"/>
              <w:jc w:val="right"/>
              <w:rPr/>
            </w:pPr>
            <w:r>
              <w:rPr/>
              <w:t>Jun-23</w:t>
            </w:r>
          </w:p>
        </w:tc>
        <w:tc>
          <w:tcPr>
            <w:tcW w:w="60" w:type="dxa"/>
            <w:tcBorders/>
            <w:shd w:fill="CCEEFF" w:val="clear"/>
          </w:tcPr>
          <w:p>
            <w:pPr>
              <w:pStyle w:val="TableContents"/>
              <w:bidi w:val="0"/>
              <w:spacing w:before="0" w:after="283"/>
              <w:jc w:val="left"/>
              <w:rPr/>
            </w:pPr>
            <w:r>
              <w:rPr/>
              <w:t> </w:t>
            </w:r>
          </w:p>
        </w:tc>
      </w:tr>
      <w:tr>
        <w:trPr/>
        <w:tc>
          <w:tcPr>
            <w:tcW w:w="1715" w:type="dxa"/>
            <w:tcBorders/>
          </w:tcPr>
          <w:p>
            <w:pPr>
              <w:pStyle w:val="TableContents"/>
              <w:bidi w:val="0"/>
              <w:spacing w:before="0" w:after="0"/>
              <w:jc w:val="left"/>
              <w:rPr>
                <w:rFonts w:ascii="Times New Roman" w:hAnsi="Times New Roman"/>
                <w:sz w:val="20"/>
              </w:rPr>
            </w:pPr>
            <w:r>
              <w:rPr>
                <w:rFonts w:ascii="Times New Roman" w:hAnsi="Times New Roman"/>
                <w:sz w:val="20"/>
              </w:rPr>
              <w:t>Serenitas N(4)</w:t>
            </w:r>
          </w:p>
        </w:tc>
        <w:tc>
          <w:tcPr>
            <w:tcW w:w="120" w:type="dxa"/>
            <w:tcBorders/>
            <w:vAlign w:val="bottom"/>
          </w:tcPr>
          <w:p>
            <w:pPr>
              <w:pStyle w:val="TableContents"/>
              <w:bidi w:val="0"/>
              <w:spacing w:before="0" w:after="283"/>
              <w:jc w:val="left"/>
              <w:rPr/>
            </w:pPr>
            <w:r>
              <w:rPr/>
              <w:t>  </w:t>
            </w:r>
          </w:p>
        </w:tc>
        <w:tc>
          <w:tcPr>
            <w:tcW w:w="1625" w:type="dxa"/>
            <w:tcBorders/>
          </w:tcPr>
          <w:p>
            <w:pPr>
              <w:pStyle w:val="TableContents"/>
              <w:bidi w:val="0"/>
              <w:spacing w:before="0" w:after="283"/>
              <w:jc w:val="center"/>
              <w:rPr/>
            </w:pPr>
            <w:r>
              <w:rPr/>
              <w:t>Ultra-Handymax</w:t>
            </w:r>
          </w:p>
        </w:tc>
        <w:tc>
          <w:tcPr>
            <w:tcW w:w="120" w:type="dxa"/>
            <w:tcBorders/>
            <w:vAlign w:val="bottom"/>
          </w:tcPr>
          <w:p>
            <w:pPr>
              <w:pStyle w:val="TableContents"/>
              <w:bidi w:val="0"/>
              <w:spacing w:before="0" w:after="283"/>
              <w:jc w:val="left"/>
              <w:rPr/>
            </w:pPr>
            <w:r>
              <w:rPr/>
              <w:t>  </w:t>
            </w:r>
          </w:p>
        </w:tc>
        <w:tc>
          <w:tcPr>
            <w:tcW w:w="515" w:type="dxa"/>
            <w:tcBorders/>
          </w:tcPr>
          <w:p>
            <w:pPr>
              <w:pStyle w:val="TableContents"/>
              <w:bidi w:val="0"/>
              <w:spacing w:before="0" w:after="283"/>
              <w:jc w:val="center"/>
              <w:rPr/>
            </w:pPr>
            <w:r>
              <w:rPr/>
              <w:t>2011</w:t>
            </w:r>
          </w:p>
        </w:tc>
        <w:tc>
          <w:tcPr>
            <w:tcW w:w="12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56,644</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pPr>
            <w:r>
              <w:rPr/>
              <w:t> </w:t>
            </w:r>
          </w:p>
        </w:tc>
        <w:tc>
          <w:tcPr>
            <w:tcW w:w="1151" w:type="dxa"/>
            <w:tcBorders/>
          </w:tcPr>
          <w:p>
            <w:pPr>
              <w:pStyle w:val="TableContents"/>
              <w:bidi w:val="0"/>
              <w:spacing w:before="0" w:after="283"/>
              <w:jc w:val="right"/>
              <w:rPr/>
            </w:pPr>
            <w:r>
              <w:rPr/>
              <w:t>Spot</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5" w:type="dxa"/>
            <w:tcBorders/>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175" w:type="dxa"/>
            <w:tcBorders/>
          </w:tcPr>
          <w:p>
            <w:pPr>
              <w:pStyle w:val="TableContents"/>
              <w:bidi w:val="0"/>
              <w:spacing w:before="0" w:after="283"/>
              <w:jc w:val="left"/>
              <w:rPr/>
            </w:pPr>
            <w:r>
              <w:rPr/>
              <w:t> </w:t>
            </w:r>
          </w:p>
        </w:tc>
        <w:tc>
          <w:tcPr>
            <w:tcW w:w="1555"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r>
      <w:tr>
        <w:trPr/>
        <w:tc>
          <w:tcPr>
            <w:tcW w:w="1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La Paix</w:t>
            </w:r>
          </w:p>
        </w:tc>
        <w:tc>
          <w:tcPr>
            <w:tcW w:w="120" w:type="dxa"/>
            <w:tcBorders/>
            <w:shd w:fill="CCEEFF" w:val="clear"/>
            <w:vAlign w:val="bottom"/>
          </w:tcPr>
          <w:p>
            <w:pPr>
              <w:pStyle w:val="TableContents"/>
              <w:bidi w:val="0"/>
              <w:spacing w:before="0" w:after="283"/>
              <w:jc w:val="left"/>
              <w:rPr/>
            </w:pPr>
            <w:r>
              <w:rPr/>
              <w:t>  </w:t>
            </w:r>
          </w:p>
        </w:tc>
        <w:tc>
          <w:tcPr>
            <w:tcW w:w="1625" w:type="dxa"/>
            <w:tcBorders/>
            <w:shd w:fill="CCEEFF" w:val="clear"/>
          </w:tcPr>
          <w:p>
            <w:pPr>
              <w:pStyle w:val="TableContents"/>
              <w:bidi w:val="0"/>
              <w:spacing w:before="0" w:after="283"/>
              <w:jc w:val="center"/>
              <w:rPr/>
            </w:pPr>
            <w:r>
              <w:rPr/>
              <w:t>Ultra-Handymax</w:t>
            </w:r>
          </w:p>
        </w:tc>
        <w:tc>
          <w:tcPr>
            <w:tcW w:w="120" w:type="dxa"/>
            <w:tcBorders/>
            <w:shd w:fill="CCEEFF" w:val="clear"/>
            <w:vAlign w:val="bottom"/>
          </w:tcPr>
          <w:p>
            <w:pPr>
              <w:pStyle w:val="TableContents"/>
              <w:bidi w:val="0"/>
              <w:spacing w:before="0" w:after="283"/>
              <w:jc w:val="left"/>
              <w:rPr/>
            </w:pPr>
            <w:r>
              <w:rPr/>
              <w:t>  </w:t>
            </w:r>
          </w:p>
        </w:tc>
        <w:tc>
          <w:tcPr>
            <w:tcW w:w="515" w:type="dxa"/>
            <w:tcBorders/>
            <w:shd w:fill="CCEEFF" w:val="clear"/>
          </w:tcPr>
          <w:p>
            <w:pPr>
              <w:pStyle w:val="TableContents"/>
              <w:bidi w:val="0"/>
              <w:spacing w:before="0" w:after="283"/>
              <w:jc w:val="center"/>
              <w:rPr/>
            </w:pPr>
            <w:r>
              <w:rPr/>
              <w:t>2014</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right"/>
              <w:rPr/>
            </w:pPr>
            <w:r>
              <w:rPr/>
              <w:t>61,485</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tcPr>
          <w:p>
            <w:pPr>
              <w:pStyle w:val="TableContents"/>
              <w:bidi w:val="0"/>
              <w:spacing w:before="0" w:after="283"/>
              <w:jc w:val="left"/>
              <w:rPr/>
            </w:pPr>
            <w:r>
              <w:rPr/>
              <w:t> </w:t>
            </w:r>
          </w:p>
        </w:tc>
        <w:tc>
          <w:tcPr>
            <w:tcW w:w="1151"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65" w:type="dxa"/>
            <w:tcBorders/>
            <w:shd w:fill="CCEEFF" w:val="clear"/>
          </w:tcPr>
          <w:p>
            <w:pPr>
              <w:pStyle w:val="TableContents"/>
              <w:bidi w:val="0"/>
              <w:spacing w:before="0" w:after="283"/>
              <w:jc w:val="center"/>
              <w:rPr/>
            </w:pPr>
            <w:r>
              <w:rPr/>
              <w:t>111.0% average BSI 58 10TC</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tcPr>
          <w:p>
            <w:pPr>
              <w:pStyle w:val="TableContents"/>
              <w:bidi w:val="0"/>
              <w:spacing w:before="0" w:after="283"/>
              <w:jc w:val="left"/>
              <w:rPr/>
            </w:pPr>
            <w:r>
              <w:rPr/>
              <w:t> </w:t>
            </w:r>
          </w:p>
        </w:tc>
        <w:tc>
          <w:tcPr>
            <w:tcW w:w="1555" w:type="dxa"/>
            <w:tcBorders/>
            <w:shd w:fill="CCEEFF" w:val="clear"/>
          </w:tcPr>
          <w:p>
            <w:pPr>
              <w:pStyle w:val="TableContents"/>
              <w:bidi w:val="0"/>
              <w:spacing w:before="0" w:after="283"/>
              <w:jc w:val="right"/>
              <w:rPr/>
            </w:pPr>
            <w:r>
              <w:rPr/>
              <w:t>Jul-24</w:t>
            </w:r>
          </w:p>
        </w:tc>
        <w:tc>
          <w:tcPr>
            <w:tcW w:w="60" w:type="dxa"/>
            <w:tcBorders/>
            <w:shd w:fill="CCEEFF" w:val="clear"/>
          </w:tcPr>
          <w:p>
            <w:pPr>
              <w:pStyle w:val="TableContents"/>
              <w:bidi w:val="0"/>
              <w:spacing w:before="0" w:after="283"/>
              <w:jc w:val="left"/>
              <w:rPr/>
            </w:pPr>
            <w:r>
              <w:rPr/>
              <w:t> </w:t>
            </w:r>
          </w:p>
        </w:tc>
      </w:tr>
      <w:tr>
        <w:trPr/>
        <w:tc>
          <w:tcPr>
            <w:tcW w:w="1715" w:type="dxa"/>
            <w:tcBorders/>
          </w:tcPr>
          <w:p>
            <w:pPr>
              <w:pStyle w:val="TableContents"/>
              <w:bidi w:val="0"/>
              <w:spacing w:before="0" w:after="0"/>
              <w:jc w:val="left"/>
              <w:rPr>
                <w:rFonts w:ascii="Times New Roman" w:hAnsi="Times New Roman"/>
                <w:sz w:val="20"/>
              </w:rPr>
            </w:pPr>
            <w:r>
              <w:rPr>
                <w:rFonts w:ascii="Times New Roman" w:hAnsi="Times New Roman"/>
                <w:sz w:val="20"/>
              </w:rPr>
              <w:t>Navios Hyperion</w:t>
            </w:r>
          </w:p>
        </w:tc>
        <w:tc>
          <w:tcPr>
            <w:tcW w:w="120" w:type="dxa"/>
            <w:tcBorders/>
            <w:vAlign w:val="bottom"/>
          </w:tcPr>
          <w:p>
            <w:pPr>
              <w:pStyle w:val="TableContents"/>
              <w:bidi w:val="0"/>
              <w:spacing w:before="0" w:after="283"/>
              <w:jc w:val="left"/>
              <w:rPr/>
            </w:pPr>
            <w:r>
              <w:rPr/>
              <w:t>  </w:t>
            </w:r>
          </w:p>
        </w:tc>
        <w:tc>
          <w:tcPr>
            <w:tcW w:w="1625" w:type="dxa"/>
            <w:tcBorders/>
          </w:tcPr>
          <w:p>
            <w:pPr>
              <w:pStyle w:val="TableContents"/>
              <w:bidi w:val="0"/>
              <w:spacing w:before="0" w:after="283"/>
              <w:jc w:val="center"/>
              <w:rPr/>
            </w:pPr>
            <w:r>
              <w:rPr/>
              <w:t>Panamax</w:t>
            </w:r>
          </w:p>
        </w:tc>
        <w:tc>
          <w:tcPr>
            <w:tcW w:w="120" w:type="dxa"/>
            <w:tcBorders/>
            <w:vAlign w:val="bottom"/>
          </w:tcPr>
          <w:p>
            <w:pPr>
              <w:pStyle w:val="TableContents"/>
              <w:bidi w:val="0"/>
              <w:spacing w:before="0" w:after="283"/>
              <w:jc w:val="left"/>
              <w:rPr/>
            </w:pPr>
            <w:r>
              <w:rPr/>
              <w:t>  </w:t>
            </w:r>
          </w:p>
        </w:tc>
        <w:tc>
          <w:tcPr>
            <w:tcW w:w="515" w:type="dxa"/>
            <w:tcBorders/>
          </w:tcPr>
          <w:p>
            <w:pPr>
              <w:pStyle w:val="TableContents"/>
              <w:bidi w:val="0"/>
              <w:spacing w:before="0" w:after="283"/>
              <w:jc w:val="center"/>
              <w:rPr/>
            </w:pPr>
            <w:r>
              <w:rPr/>
              <w:t>2004</w:t>
            </w:r>
          </w:p>
        </w:tc>
        <w:tc>
          <w:tcPr>
            <w:tcW w:w="12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75,707</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pPr>
            <w:r>
              <w:rPr/>
              <w:t>$</w:t>
            </w:r>
          </w:p>
        </w:tc>
        <w:tc>
          <w:tcPr>
            <w:tcW w:w="1151" w:type="dxa"/>
            <w:tcBorders/>
          </w:tcPr>
          <w:p>
            <w:pPr>
              <w:pStyle w:val="TableContents"/>
              <w:bidi w:val="0"/>
              <w:spacing w:before="0" w:after="283"/>
              <w:jc w:val="right"/>
              <w:rPr/>
            </w:pPr>
            <w:r>
              <w:rPr/>
              <w:t>19,000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5" w:type="dxa"/>
            <w:tcBorders/>
          </w:tcPr>
          <w:p>
            <w:pPr>
              <w:pStyle w:val="TableContents"/>
              <w:bidi w:val="0"/>
              <w:spacing w:before="0" w:after="283"/>
              <w:jc w:val="center"/>
              <w:rPr/>
            </w:pPr>
            <w:r>
              <w:rPr/>
              <w:t>No</w:t>
            </w:r>
          </w:p>
        </w:tc>
        <w:tc>
          <w:tcPr>
            <w:tcW w:w="120" w:type="dxa"/>
            <w:tcBorders/>
            <w:vAlign w:val="bottom"/>
          </w:tcPr>
          <w:p>
            <w:pPr>
              <w:pStyle w:val="TableContents"/>
              <w:bidi w:val="0"/>
              <w:spacing w:before="0" w:after="283"/>
              <w:jc w:val="left"/>
              <w:rPr/>
            </w:pPr>
            <w:r>
              <w:rPr/>
              <w:t>  </w:t>
            </w:r>
          </w:p>
        </w:tc>
        <w:tc>
          <w:tcPr>
            <w:tcW w:w="175" w:type="dxa"/>
            <w:tcBorders/>
          </w:tcPr>
          <w:p>
            <w:pPr>
              <w:pStyle w:val="TableContents"/>
              <w:bidi w:val="0"/>
              <w:spacing w:before="0" w:after="283"/>
              <w:jc w:val="left"/>
              <w:rPr/>
            </w:pPr>
            <w:r>
              <w:rPr/>
              <w:t> </w:t>
            </w:r>
          </w:p>
        </w:tc>
        <w:tc>
          <w:tcPr>
            <w:tcW w:w="1555" w:type="dxa"/>
            <w:tcBorders/>
          </w:tcPr>
          <w:p>
            <w:pPr>
              <w:pStyle w:val="TableContents"/>
              <w:bidi w:val="0"/>
              <w:spacing w:before="0" w:after="283"/>
              <w:jc w:val="right"/>
              <w:rPr/>
            </w:pPr>
            <w:r>
              <w:rPr/>
              <w:t>Nov-23</w:t>
            </w:r>
          </w:p>
        </w:tc>
        <w:tc>
          <w:tcPr>
            <w:tcW w:w="60" w:type="dxa"/>
            <w:tcBorders/>
          </w:tcPr>
          <w:p>
            <w:pPr>
              <w:pStyle w:val="TableContents"/>
              <w:bidi w:val="0"/>
              <w:spacing w:before="0" w:after="283"/>
              <w:jc w:val="left"/>
              <w:rPr/>
            </w:pPr>
            <w:r>
              <w:rPr/>
              <w:t> </w:t>
            </w:r>
          </w:p>
        </w:tc>
      </w:tr>
      <w:tr>
        <w:trPr/>
        <w:tc>
          <w:tcPr>
            <w:tcW w:w="1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Orbiter</w:t>
            </w:r>
          </w:p>
        </w:tc>
        <w:tc>
          <w:tcPr>
            <w:tcW w:w="120" w:type="dxa"/>
            <w:tcBorders/>
            <w:shd w:fill="CCEEFF" w:val="clear"/>
            <w:vAlign w:val="bottom"/>
          </w:tcPr>
          <w:p>
            <w:pPr>
              <w:pStyle w:val="TableContents"/>
              <w:bidi w:val="0"/>
              <w:spacing w:before="0" w:after="283"/>
              <w:jc w:val="left"/>
              <w:rPr/>
            </w:pPr>
            <w:r>
              <w:rPr/>
              <w:t>  </w:t>
            </w:r>
          </w:p>
        </w:tc>
        <w:tc>
          <w:tcPr>
            <w:tcW w:w="1625" w:type="dxa"/>
            <w:tcBorders/>
            <w:shd w:fill="CCEEFF" w:val="clear"/>
          </w:tcPr>
          <w:p>
            <w:pPr>
              <w:pStyle w:val="TableContents"/>
              <w:bidi w:val="0"/>
              <w:spacing w:before="0" w:after="283"/>
              <w:jc w:val="center"/>
              <w:rPr/>
            </w:pPr>
            <w:r>
              <w:rPr/>
              <w:t>Panamax</w:t>
            </w:r>
          </w:p>
        </w:tc>
        <w:tc>
          <w:tcPr>
            <w:tcW w:w="120" w:type="dxa"/>
            <w:tcBorders/>
            <w:shd w:fill="CCEEFF" w:val="clear"/>
            <w:vAlign w:val="bottom"/>
          </w:tcPr>
          <w:p>
            <w:pPr>
              <w:pStyle w:val="TableContents"/>
              <w:bidi w:val="0"/>
              <w:spacing w:before="0" w:after="283"/>
              <w:jc w:val="left"/>
              <w:rPr/>
            </w:pPr>
            <w:r>
              <w:rPr/>
              <w:t>  </w:t>
            </w:r>
          </w:p>
        </w:tc>
        <w:tc>
          <w:tcPr>
            <w:tcW w:w="515" w:type="dxa"/>
            <w:tcBorders/>
            <w:shd w:fill="CCEEFF" w:val="clear"/>
          </w:tcPr>
          <w:p>
            <w:pPr>
              <w:pStyle w:val="TableContents"/>
              <w:bidi w:val="0"/>
              <w:spacing w:before="0" w:after="283"/>
              <w:jc w:val="center"/>
              <w:rPr/>
            </w:pPr>
            <w:r>
              <w:rPr/>
              <w:t>2004</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right"/>
              <w:rPr/>
            </w:pPr>
            <w:r>
              <w:rPr/>
              <w:t>76,602</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tcPr>
          <w:p>
            <w:pPr>
              <w:pStyle w:val="TableContents"/>
              <w:bidi w:val="0"/>
              <w:spacing w:before="0" w:after="283"/>
              <w:jc w:val="left"/>
              <w:rPr/>
            </w:pPr>
            <w:r>
              <w:rPr/>
              <w:t> </w:t>
            </w:r>
          </w:p>
        </w:tc>
        <w:tc>
          <w:tcPr>
            <w:tcW w:w="1151"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65" w:type="dxa"/>
            <w:tcBorders/>
            <w:shd w:fill="CCEEFF" w:val="clear"/>
          </w:tcPr>
          <w:p>
            <w:pPr>
              <w:pStyle w:val="TableContents"/>
              <w:bidi w:val="0"/>
              <w:spacing w:before="0" w:after="283"/>
              <w:jc w:val="center"/>
              <w:rPr/>
            </w:pPr>
            <w:r>
              <w:rPr/>
              <w:t>100.0% average BPI 4TC</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tcPr>
          <w:p>
            <w:pPr>
              <w:pStyle w:val="TableContents"/>
              <w:bidi w:val="0"/>
              <w:spacing w:before="0" w:after="283"/>
              <w:jc w:val="left"/>
              <w:rPr/>
            </w:pPr>
            <w:r>
              <w:rPr/>
              <w:t> </w:t>
            </w:r>
          </w:p>
        </w:tc>
        <w:tc>
          <w:tcPr>
            <w:tcW w:w="1555" w:type="dxa"/>
            <w:tcBorders/>
            <w:shd w:fill="CCEEFF" w:val="clear"/>
          </w:tcPr>
          <w:p>
            <w:pPr>
              <w:pStyle w:val="TableContents"/>
              <w:bidi w:val="0"/>
              <w:spacing w:before="0" w:after="283"/>
              <w:jc w:val="right"/>
              <w:rPr/>
            </w:pPr>
            <w:r>
              <w:rPr/>
              <w:t>Sep-23</w:t>
            </w:r>
          </w:p>
        </w:tc>
        <w:tc>
          <w:tcPr>
            <w:tcW w:w="60" w:type="dxa"/>
            <w:tcBorders/>
            <w:shd w:fill="CCEEFF" w:val="clear"/>
          </w:tcPr>
          <w:p>
            <w:pPr>
              <w:pStyle w:val="TableContents"/>
              <w:bidi w:val="0"/>
              <w:spacing w:before="0" w:after="283"/>
              <w:jc w:val="left"/>
              <w:rPr/>
            </w:pPr>
            <w:r>
              <w:rPr/>
              <w:t> </w:t>
            </w:r>
          </w:p>
        </w:tc>
      </w:tr>
      <w:tr>
        <w:trPr/>
        <w:tc>
          <w:tcPr>
            <w:tcW w:w="1715" w:type="dxa"/>
            <w:tcBorders/>
          </w:tcPr>
          <w:p>
            <w:pPr>
              <w:pStyle w:val="TableContents"/>
              <w:bidi w:val="0"/>
              <w:spacing w:before="0" w:after="0"/>
              <w:jc w:val="left"/>
              <w:rPr>
                <w:rFonts w:ascii="Times New Roman" w:hAnsi="Times New Roman"/>
                <w:sz w:val="20"/>
              </w:rPr>
            </w:pPr>
            <w:r>
              <w:rPr>
                <w:rFonts w:ascii="Times New Roman" w:hAnsi="Times New Roman"/>
                <w:sz w:val="20"/>
              </w:rPr>
              <w:t>Navios Hope</w:t>
            </w:r>
          </w:p>
        </w:tc>
        <w:tc>
          <w:tcPr>
            <w:tcW w:w="120" w:type="dxa"/>
            <w:tcBorders/>
            <w:vAlign w:val="bottom"/>
          </w:tcPr>
          <w:p>
            <w:pPr>
              <w:pStyle w:val="TableContents"/>
              <w:bidi w:val="0"/>
              <w:spacing w:before="0" w:after="283"/>
              <w:jc w:val="left"/>
              <w:rPr/>
            </w:pPr>
            <w:r>
              <w:rPr/>
              <w:t>  </w:t>
            </w:r>
          </w:p>
        </w:tc>
        <w:tc>
          <w:tcPr>
            <w:tcW w:w="1625" w:type="dxa"/>
            <w:tcBorders/>
          </w:tcPr>
          <w:p>
            <w:pPr>
              <w:pStyle w:val="TableContents"/>
              <w:bidi w:val="0"/>
              <w:spacing w:before="0" w:after="283"/>
              <w:jc w:val="center"/>
              <w:rPr/>
            </w:pPr>
            <w:r>
              <w:rPr/>
              <w:t>Panamax</w:t>
            </w:r>
          </w:p>
        </w:tc>
        <w:tc>
          <w:tcPr>
            <w:tcW w:w="120" w:type="dxa"/>
            <w:tcBorders/>
            <w:vAlign w:val="bottom"/>
          </w:tcPr>
          <w:p>
            <w:pPr>
              <w:pStyle w:val="TableContents"/>
              <w:bidi w:val="0"/>
              <w:spacing w:before="0" w:after="283"/>
              <w:jc w:val="left"/>
              <w:rPr/>
            </w:pPr>
            <w:r>
              <w:rPr/>
              <w:t>  </w:t>
            </w:r>
          </w:p>
        </w:tc>
        <w:tc>
          <w:tcPr>
            <w:tcW w:w="515" w:type="dxa"/>
            <w:tcBorders/>
          </w:tcPr>
          <w:p>
            <w:pPr>
              <w:pStyle w:val="TableContents"/>
              <w:bidi w:val="0"/>
              <w:spacing w:before="0" w:after="283"/>
              <w:jc w:val="center"/>
              <w:rPr/>
            </w:pPr>
            <w:r>
              <w:rPr/>
              <w:t>2005</w:t>
            </w:r>
          </w:p>
        </w:tc>
        <w:tc>
          <w:tcPr>
            <w:tcW w:w="12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75,397</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pPr>
            <w:r>
              <w:rPr/>
              <w:t> </w:t>
            </w:r>
          </w:p>
        </w:tc>
        <w:tc>
          <w:tcPr>
            <w:tcW w:w="1151"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5" w:type="dxa"/>
            <w:tcBorders/>
          </w:tcPr>
          <w:p>
            <w:pPr>
              <w:pStyle w:val="TableContents"/>
              <w:bidi w:val="0"/>
              <w:spacing w:before="0" w:after="283"/>
              <w:jc w:val="center"/>
              <w:rPr/>
            </w:pPr>
            <w:r>
              <w:rPr/>
              <w:t>100.0% average BPI 4TC</w:t>
            </w:r>
          </w:p>
        </w:tc>
        <w:tc>
          <w:tcPr>
            <w:tcW w:w="120" w:type="dxa"/>
            <w:tcBorders/>
            <w:vAlign w:val="bottom"/>
          </w:tcPr>
          <w:p>
            <w:pPr>
              <w:pStyle w:val="TableContents"/>
              <w:bidi w:val="0"/>
              <w:spacing w:before="0" w:after="283"/>
              <w:jc w:val="left"/>
              <w:rPr/>
            </w:pPr>
            <w:r>
              <w:rPr/>
              <w:t>  </w:t>
            </w:r>
          </w:p>
        </w:tc>
        <w:tc>
          <w:tcPr>
            <w:tcW w:w="175" w:type="dxa"/>
            <w:tcBorders/>
          </w:tcPr>
          <w:p>
            <w:pPr>
              <w:pStyle w:val="TableContents"/>
              <w:bidi w:val="0"/>
              <w:spacing w:before="0" w:after="283"/>
              <w:jc w:val="left"/>
              <w:rPr/>
            </w:pPr>
            <w:r>
              <w:rPr/>
              <w:t> </w:t>
            </w:r>
          </w:p>
        </w:tc>
        <w:tc>
          <w:tcPr>
            <w:tcW w:w="1555" w:type="dxa"/>
            <w:tcBorders/>
          </w:tcPr>
          <w:p>
            <w:pPr>
              <w:pStyle w:val="TableContents"/>
              <w:bidi w:val="0"/>
              <w:spacing w:before="0" w:after="283"/>
              <w:jc w:val="right"/>
              <w:rPr/>
            </w:pPr>
            <w:r>
              <w:rPr/>
              <w:t>Jun-24</w:t>
            </w:r>
          </w:p>
        </w:tc>
        <w:tc>
          <w:tcPr>
            <w:tcW w:w="60" w:type="dxa"/>
            <w:tcBorders/>
          </w:tcPr>
          <w:p>
            <w:pPr>
              <w:pStyle w:val="TableContents"/>
              <w:bidi w:val="0"/>
              <w:spacing w:before="0" w:after="283"/>
              <w:jc w:val="left"/>
              <w:rPr/>
            </w:pPr>
            <w:r>
              <w:rPr/>
              <w:t> </w:t>
            </w:r>
          </w:p>
        </w:tc>
      </w:tr>
      <w:tr>
        <w:trPr/>
        <w:tc>
          <w:tcPr>
            <w:tcW w:w="1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Taurus</w:t>
            </w:r>
          </w:p>
        </w:tc>
        <w:tc>
          <w:tcPr>
            <w:tcW w:w="120" w:type="dxa"/>
            <w:tcBorders/>
            <w:shd w:fill="CCEEFF" w:val="clear"/>
            <w:vAlign w:val="bottom"/>
          </w:tcPr>
          <w:p>
            <w:pPr>
              <w:pStyle w:val="TableContents"/>
              <w:bidi w:val="0"/>
              <w:spacing w:before="0" w:after="283"/>
              <w:jc w:val="left"/>
              <w:rPr/>
            </w:pPr>
            <w:r>
              <w:rPr/>
              <w:t>  </w:t>
            </w:r>
          </w:p>
        </w:tc>
        <w:tc>
          <w:tcPr>
            <w:tcW w:w="1625" w:type="dxa"/>
            <w:tcBorders/>
            <w:shd w:fill="CCEEFF" w:val="clear"/>
          </w:tcPr>
          <w:p>
            <w:pPr>
              <w:pStyle w:val="TableContents"/>
              <w:bidi w:val="0"/>
              <w:spacing w:before="0" w:after="283"/>
              <w:jc w:val="center"/>
              <w:rPr/>
            </w:pPr>
            <w:r>
              <w:rPr/>
              <w:t>Panamax</w:t>
            </w:r>
          </w:p>
        </w:tc>
        <w:tc>
          <w:tcPr>
            <w:tcW w:w="120" w:type="dxa"/>
            <w:tcBorders/>
            <w:shd w:fill="CCEEFF" w:val="clear"/>
            <w:vAlign w:val="bottom"/>
          </w:tcPr>
          <w:p>
            <w:pPr>
              <w:pStyle w:val="TableContents"/>
              <w:bidi w:val="0"/>
              <w:spacing w:before="0" w:after="283"/>
              <w:jc w:val="left"/>
              <w:rPr/>
            </w:pPr>
            <w:r>
              <w:rPr/>
              <w:t>  </w:t>
            </w:r>
          </w:p>
        </w:tc>
        <w:tc>
          <w:tcPr>
            <w:tcW w:w="515" w:type="dxa"/>
            <w:tcBorders/>
            <w:shd w:fill="CCEEFF" w:val="clear"/>
          </w:tcPr>
          <w:p>
            <w:pPr>
              <w:pStyle w:val="TableContents"/>
              <w:bidi w:val="0"/>
              <w:spacing w:before="0" w:after="283"/>
              <w:jc w:val="center"/>
              <w:rPr/>
            </w:pPr>
            <w:r>
              <w:rPr/>
              <w:t>2005</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right"/>
              <w:rPr/>
            </w:pPr>
            <w:r>
              <w:rPr/>
              <w:t>76,596</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tcPr>
          <w:p>
            <w:pPr>
              <w:pStyle w:val="TableContents"/>
              <w:bidi w:val="0"/>
              <w:spacing w:before="0" w:after="283"/>
              <w:jc w:val="left"/>
              <w:rPr/>
            </w:pPr>
            <w:r>
              <w:rPr/>
              <w:t> </w:t>
            </w:r>
          </w:p>
        </w:tc>
        <w:tc>
          <w:tcPr>
            <w:tcW w:w="1151"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65" w:type="dxa"/>
            <w:tcBorders/>
            <w:shd w:fill="CCEEFF" w:val="clear"/>
          </w:tcPr>
          <w:p>
            <w:pPr>
              <w:pStyle w:val="TableContents"/>
              <w:bidi w:val="0"/>
              <w:spacing w:before="0" w:after="283"/>
              <w:jc w:val="center"/>
              <w:rPr/>
            </w:pPr>
            <w:r>
              <w:rPr/>
              <w:t>100.0% average BPI 4TC</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tcPr>
          <w:p>
            <w:pPr>
              <w:pStyle w:val="TableContents"/>
              <w:bidi w:val="0"/>
              <w:spacing w:before="0" w:after="283"/>
              <w:jc w:val="left"/>
              <w:rPr/>
            </w:pPr>
            <w:r>
              <w:rPr/>
              <w:t> </w:t>
            </w:r>
          </w:p>
        </w:tc>
        <w:tc>
          <w:tcPr>
            <w:tcW w:w="1555" w:type="dxa"/>
            <w:tcBorders/>
            <w:shd w:fill="CCEEFF" w:val="clear"/>
          </w:tcPr>
          <w:p>
            <w:pPr>
              <w:pStyle w:val="TableContents"/>
              <w:bidi w:val="0"/>
              <w:spacing w:before="0" w:after="283"/>
              <w:jc w:val="right"/>
              <w:rPr/>
            </w:pPr>
            <w:r>
              <w:rPr/>
              <w:t>Feb-24</w:t>
            </w:r>
          </w:p>
        </w:tc>
        <w:tc>
          <w:tcPr>
            <w:tcW w:w="60" w:type="dxa"/>
            <w:tcBorders/>
            <w:shd w:fill="CCEEFF" w:val="clear"/>
          </w:tcPr>
          <w:p>
            <w:pPr>
              <w:pStyle w:val="TableContents"/>
              <w:bidi w:val="0"/>
              <w:spacing w:before="0" w:after="283"/>
              <w:jc w:val="left"/>
              <w:rPr/>
            </w:pPr>
            <w:r>
              <w:rPr/>
              <w:t> </w:t>
            </w:r>
          </w:p>
        </w:tc>
      </w:tr>
      <w:tr>
        <w:trPr/>
        <w:tc>
          <w:tcPr>
            <w:tcW w:w="1715" w:type="dxa"/>
            <w:tcBorders/>
          </w:tcPr>
          <w:p>
            <w:pPr>
              <w:pStyle w:val="TableContents"/>
              <w:bidi w:val="0"/>
              <w:spacing w:before="0" w:after="0"/>
              <w:jc w:val="left"/>
              <w:rPr>
                <w:rFonts w:ascii="Times New Roman" w:hAnsi="Times New Roman"/>
                <w:sz w:val="20"/>
              </w:rPr>
            </w:pPr>
            <w:r>
              <w:rPr>
                <w:rFonts w:ascii="Times New Roman" w:hAnsi="Times New Roman"/>
                <w:sz w:val="20"/>
              </w:rPr>
              <w:t>Navios Sun</w:t>
            </w:r>
          </w:p>
        </w:tc>
        <w:tc>
          <w:tcPr>
            <w:tcW w:w="120" w:type="dxa"/>
            <w:tcBorders/>
            <w:vAlign w:val="bottom"/>
          </w:tcPr>
          <w:p>
            <w:pPr>
              <w:pStyle w:val="TableContents"/>
              <w:bidi w:val="0"/>
              <w:spacing w:before="0" w:after="283"/>
              <w:jc w:val="left"/>
              <w:rPr/>
            </w:pPr>
            <w:r>
              <w:rPr/>
              <w:t>  </w:t>
            </w:r>
          </w:p>
        </w:tc>
        <w:tc>
          <w:tcPr>
            <w:tcW w:w="1625" w:type="dxa"/>
            <w:tcBorders/>
          </w:tcPr>
          <w:p>
            <w:pPr>
              <w:pStyle w:val="TableContents"/>
              <w:bidi w:val="0"/>
              <w:spacing w:before="0" w:after="283"/>
              <w:jc w:val="center"/>
              <w:rPr/>
            </w:pPr>
            <w:r>
              <w:rPr/>
              <w:t>Panamax</w:t>
            </w:r>
          </w:p>
        </w:tc>
        <w:tc>
          <w:tcPr>
            <w:tcW w:w="120" w:type="dxa"/>
            <w:tcBorders/>
            <w:vAlign w:val="bottom"/>
          </w:tcPr>
          <w:p>
            <w:pPr>
              <w:pStyle w:val="TableContents"/>
              <w:bidi w:val="0"/>
              <w:spacing w:before="0" w:after="283"/>
              <w:jc w:val="left"/>
              <w:rPr/>
            </w:pPr>
            <w:r>
              <w:rPr/>
              <w:t>  </w:t>
            </w:r>
          </w:p>
        </w:tc>
        <w:tc>
          <w:tcPr>
            <w:tcW w:w="515" w:type="dxa"/>
            <w:tcBorders/>
          </w:tcPr>
          <w:p>
            <w:pPr>
              <w:pStyle w:val="TableContents"/>
              <w:bidi w:val="0"/>
              <w:spacing w:before="0" w:after="283"/>
              <w:jc w:val="center"/>
              <w:rPr/>
            </w:pPr>
            <w:r>
              <w:rPr/>
              <w:t>2005</w:t>
            </w:r>
          </w:p>
        </w:tc>
        <w:tc>
          <w:tcPr>
            <w:tcW w:w="12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76,619</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pPr>
            <w:r>
              <w:rPr/>
              <w:t> </w:t>
            </w:r>
          </w:p>
        </w:tc>
        <w:tc>
          <w:tcPr>
            <w:tcW w:w="1151"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5" w:type="dxa"/>
            <w:tcBorders/>
          </w:tcPr>
          <w:p>
            <w:pPr>
              <w:pStyle w:val="TableContents"/>
              <w:bidi w:val="0"/>
              <w:spacing w:before="0" w:after="283"/>
              <w:jc w:val="center"/>
              <w:rPr/>
            </w:pPr>
            <w:r>
              <w:rPr/>
              <w:t>100.0% average BPI 4TC</w:t>
            </w:r>
          </w:p>
        </w:tc>
        <w:tc>
          <w:tcPr>
            <w:tcW w:w="120" w:type="dxa"/>
            <w:tcBorders/>
            <w:vAlign w:val="bottom"/>
          </w:tcPr>
          <w:p>
            <w:pPr>
              <w:pStyle w:val="TableContents"/>
              <w:bidi w:val="0"/>
              <w:spacing w:before="0" w:after="283"/>
              <w:jc w:val="left"/>
              <w:rPr/>
            </w:pPr>
            <w:r>
              <w:rPr/>
              <w:t>  </w:t>
            </w:r>
          </w:p>
        </w:tc>
        <w:tc>
          <w:tcPr>
            <w:tcW w:w="175" w:type="dxa"/>
            <w:tcBorders/>
          </w:tcPr>
          <w:p>
            <w:pPr>
              <w:pStyle w:val="TableContents"/>
              <w:bidi w:val="0"/>
              <w:spacing w:before="0" w:after="283"/>
              <w:jc w:val="left"/>
              <w:rPr/>
            </w:pPr>
            <w:r>
              <w:rPr/>
              <w:t> </w:t>
            </w:r>
          </w:p>
        </w:tc>
        <w:tc>
          <w:tcPr>
            <w:tcW w:w="1555" w:type="dxa"/>
            <w:tcBorders/>
          </w:tcPr>
          <w:p>
            <w:pPr>
              <w:pStyle w:val="TableContents"/>
              <w:bidi w:val="0"/>
              <w:spacing w:before="0" w:after="283"/>
              <w:jc w:val="right"/>
              <w:rPr/>
            </w:pPr>
            <w:r>
              <w:rPr/>
              <w:t>Jun-23</w:t>
            </w:r>
          </w:p>
        </w:tc>
        <w:tc>
          <w:tcPr>
            <w:tcW w:w="60" w:type="dxa"/>
            <w:tcBorders/>
          </w:tcPr>
          <w:p>
            <w:pPr>
              <w:pStyle w:val="TableContents"/>
              <w:bidi w:val="0"/>
              <w:spacing w:before="0" w:after="283"/>
              <w:jc w:val="left"/>
              <w:rPr/>
            </w:pPr>
            <w:r>
              <w:rPr/>
              <w:t> </w:t>
            </w:r>
          </w:p>
        </w:tc>
      </w:tr>
      <w:tr>
        <w:trPr/>
        <w:tc>
          <w:tcPr>
            <w:tcW w:w="171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62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1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sz w:val="4"/>
                <w:szCs w:val="4"/>
              </w:rPr>
            </w:pPr>
            <w:r>
              <w:rPr>
                <w:sz w:val="4"/>
                <w:szCs w:val="4"/>
              </w:rPr>
            </w:r>
          </w:p>
        </w:tc>
        <w:tc>
          <w:tcPr>
            <w:tcW w:w="8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tcPr>
          <w:p>
            <w:pPr>
              <w:pStyle w:val="TableContents"/>
              <w:bidi w:val="0"/>
              <w:spacing w:before="0" w:after="283"/>
              <w:jc w:val="left"/>
              <w:rPr/>
            </w:pPr>
            <w:r>
              <w:rPr/>
              <w:t>$</w:t>
            </w:r>
          </w:p>
        </w:tc>
        <w:tc>
          <w:tcPr>
            <w:tcW w:w="1151" w:type="dxa"/>
            <w:tcBorders/>
            <w:shd w:fill="CCEEFF" w:val="clear"/>
          </w:tcPr>
          <w:p>
            <w:pPr>
              <w:pStyle w:val="TableContents"/>
              <w:bidi w:val="0"/>
              <w:spacing w:before="0" w:after="283"/>
              <w:jc w:val="right"/>
              <w:rPr/>
            </w:pPr>
            <w:r>
              <w:rPr/>
              <w:t>16,844</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65" w:type="dxa"/>
            <w:tcBorders/>
            <w:shd w:fill="CCEEFF" w:val="clear"/>
          </w:tcPr>
          <w:p>
            <w:pPr>
              <w:pStyle w:val="TableContents"/>
              <w:bidi w:val="0"/>
              <w:spacing w:before="0" w:after="283"/>
              <w:jc w:val="center"/>
              <w:rPr/>
            </w:pPr>
            <w:r>
              <w:rPr/>
              <w:t>No</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tcPr>
          <w:p>
            <w:pPr>
              <w:pStyle w:val="TableContents"/>
              <w:bidi w:val="0"/>
              <w:spacing w:before="0" w:after="283"/>
              <w:jc w:val="left"/>
              <w:rPr/>
            </w:pPr>
            <w:r>
              <w:rPr/>
              <w:t> </w:t>
            </w:r>
          </w:p>
        </w:tc>
        <w:tc>
          <w:tcPr>
            <w:tcW w:w="1555" w:type="dxa"/>
            <w:tcBorders/>
            <w:shd w:fill="CCEEFF" w:val="clear"/>
          </w:tcPr>
          <w:p>
            <w:pPr>
              <w:pStyle w:val="TableContents"/>
              <w:bidi w:val="0"/>
              <w:spacing w:before="0" w:after="283"/>
              <w:jc w:val="right"/>
              <w:rPr/>
            </w:pPr>
            <w:r>
              <w:rPr/>
              <w:t>Sep-23</w:t>
            </w:r>
          </w:p>
        </w:tc>
        <w:tc>
          <w:tcPr>
            <w:tcW w:w="60" w:type="dxa"/>
            <w:tcBorders/>
            <w:shd w:fill="CCEEFF" w:val="clear"/>
          </w:tcPr>
          <w:p>
            <w:pPr>
              <w:pStyle w:val="TableContents"/>
              <w:bidi w:val="0"/>
              <w:spacing w:before="0" w:after="283"/>
              <w:jc w:val="left"/>
              <w:rPr/>
            </w:pPr>
            <w:r>
              <w:rPr/>
              <w:t> </w:t>
            </w:r>
          </w:p>
        </w:tc>
      </w:tr>
      <w:tr>
        <w:trPr/>
        <w:tc>
          <w:tcPr>
            <w:tcW w:w="171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sz w:val="4"/>
                <w:szCs w:val="4"/>
              </w:rPr>
            </w:pPr>
            <w:r>
              <w:rPr>
                <w:sz w:val="4"/>
                <w:szCs w:val="4"/>
              </w:rPr>
            </w:r>
          </w:p>
        </w:tc>
        <w:tc>
          <w:tcPr>
            <w:tcW w:w="8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pPr>
            <w:r>
              <w:rPr/>
              <w:t> </w:t>
            </w:r>
          </w:p>
        </w:tc>
        <w:tc>
          <w:tcPr>
            <w:tcW w:w="1151"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5" w:type="dxa"/>
            <w:tcBorders/>
          </w:tcPr>
          <w:p>
            <w:pPr>
              <w:pStyle w:val="TableContents"/>
              <w:bidi w:val="0"/>
              <w:spacing w:before="0" w:after="283"/>
              <w:jc w:val="center"/>
              <w:rPr/>
            </w:pPr>
            <w:r>
              <w:rPr/>
              <w:t>100.0% average BPI 4TC</w:t>
            </w:r>
          </w:p>
        </w:tc>
        <w:tc>
          <w:tcPr>
            <w:tcW w:w="120" w:type="dxa"/>
            <w:tcBorders/>
            <w:vAlign w:val="bottom"/>
          </w:tcPr>
          <w:p>
            <w:pPr>
              <w:pStyle w:val="TableContents"/>
              <w:bidi w:val="0"/>
              <w:spacing w:before="0" w:after="283"/>
              <w:jc w:val="left"/>
              <w:rPr/>
            </w:pPr>
            <w:r>
              <w:rPr/>
              <w:t>  </w:t>
            </w:r>
          </w:p>
        </w:tc>
        <w:tc>
          <w:tcPr>
            <w:tcW w:w="175" w:type="dxa"/>
            <w:tcBorders/>
          </w:tcPr>
          <w:p>
            <w:pPr>
              <w:pStyle w:val="TableContents"/>
              <w:bidi w:val="0"/>
              <w:spacing w:before="0" w:after="283"/>
              <w:jc w:val="left"/>
              <w:rPr/>
            </w:pPr>
            <w:r>
              <w:rPr/>
              <w:t> </w:t>
            </w:r>
          </w:p>
        </w:tc>
        <w:tc>
          <w:tcPr>
            <w:tcW w:w="1555" w:type="dxa"/>
            <w:tcBorders/>
          </w:tcPr>
          <w:p>
            <w:pPr>
              <w:pStyle w:val="TableContents"/>
              <w:bidi w:val="0"/>
              <w:spacing w:before="0" w:after="283"/>
              <w:jc w:val="right"/>
              <w:rPr/>
            </w:pPr>
            <w:r>
              <w:rPr/>
              <w:t>Dec-23</w:t>
            </w:r>
          </w:p>
        </w:tc>
        <w:tc>
          <w:tcPr>
            <w:tcW w:w="60" w:type="dxa"/>
            <w:tcBorders/>
          </w:tcPr>
          <w:p>
            <w:pPr>
              <w:pStyle w:val="TableContents"/>
              <w:bidi w:val="0"/>
              <w:spacing w:before="0" w:after="283"/>
              <w:jc w:val="left"/>
              <w:rPr/>
            </w:pPr>
            <w:r>
              <w:rPr/>
              <w:t> </w:t>
            </w:r>
          </w:p>
        </w:tc>
      </w:tr>
      <w:tr>
        <w:trPr/>
        <w:tc>
          <w:tcPr>
            <w:tcW w:w="1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Asteriks(24)</w:t>
            </w:r>
          </w:p>
        </w:tc>
        <w:tc>
          <w:tcPr>
            <w:tcW w:w="120" w:type="dxa"/>
            <w:tcBorders/>
            <w:shd w:fill="CCEEFF" w:val="clear"/>
            <w:vAlign w:val="bottom"/>
          </w:tcPr>
          <w:p>
            <w:pPr>
              <w:pStyle w:val="TableContents"/>
              <w:bidi w:val="0"/>
              <w:spacing w:before="0" w:after="283"/>
              <w:jc w:val="left"/>
              <w:rPr/>
            </w:pPr>
            <w:r>
              <w:rPr/>
              <w:t>  </w:t>
            </w:r>
          </w:p>
        </w:tc>
        <w:tc>
          <w:tcPr>
            <w:tcW w:w="1625" w:type="dxa"/>
            <w:tcBorders/>
            <w:shd w:fill="CCEEFF" w:val="clear"/>
          </w:tcPr>
          <w:p>
            <w:pPr>
              <w:pStyle w:val="TableContents"/>
              <w:bidi w:val="0"/>
              <w:spacing w:before="0" w:after="283"/>
              <w:jc w:val="center"/>
              <w:rPr/>
            </w:pPr>
            <w:r>
              <w:rPr/>
              <w:t>Panamax</w:t>
            </w:r>
          </w:p>
        </w:tc>
        <w:tc>
          <w:tcPr>
            <w:tcW w:w="120" w:type="dxa"/>
            <w:tcBorders/>
            <w:shd w:fill="CCEEFF" w:val="clear"/>
            <w:vAlign w:val="bottom"/>
          </w:tcPr>
          <w:p>
            <w:pPr>
              <w:pStyle w:val="TableContents"/>
              <w:bidi w:val="0"/>
              <w:spacing w:before="0" w:after="283"/>
              <w:jc w:val="left"/>
              <w:rPr/>
            </w:pPr>
            <w:r>
              <w:rPr/>
              <w:t>  </w:t>
            </w:r>
          </w:p>
        </w:tc>
        <w:tc>
          <w:tcPr>
            <w:tcW w:w="515" w:type="dxa"/>
            <w:tcBorders/>
            <w:shd w:fill="CCEEFF" w:val="clear"/>
          </w:tcPr>
          <w:p>
            <w:pPr>
              <w:pStyle w:val="TableContents"/>
              <w:bidi w:val="0"/>
              <w:spacing w:before="0" w:after="283"/>
              <w:jc w:val="center"/>
              <w:rPr/>
            </w:pPr>
            <w:r>
              <w:rPr/>
              <w:t>2005</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right"/>
              <w:rPr/>
            </w:pPr>
            <w:r>
              <w:rPr/>
              <w:t>76,801</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tcPr>
          <w:p>
            <w:pPr>
              <w:pStyle w:val="TableContents"/>
              <w:bidi w:val="0"/>
              <w:spacing w:before="0" w:after="283"/>
              <w:jc w:val="left"/>
              <w:rPr/>
            </w:pPr>
            <w:r>
              <w:rPr/>
              <w:t> </w:t>
            </w:r>
          </w:p>
        </w:tc>
        <w:tc>
          <w:tcPr>
            <w:tcW w:w="1151"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65" w:type="dxa"/>
            <w:tcBorders/>
            <w:shd w:fill="CCEEFF" w:val="clear"/>
          </w:tcPr>
          <w:p>
            <w:pPr>
              <w:pStyle w:val="TableContents"/>
              <w:bidi w:val="0"/>
              <w:spacing w:before="0" w:after="283"/>
              <w:jc w:val="center"/>
              <w:rPr/>
            </w:pPr>
            <w:r>
              <w:rPr/>
              <w:t>100.0% average BPI 4TC</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tcPr>
          <w:p>
            <w:pPr>
              <w:pStyle w:val="TableContents"/>
              <w:bidi w:val="0"/>
              <w:spacing w:before="0" w:after="283"/>
              <w:jc w:val="left"/>
              <w:rPr/>
            </w:pPr>
            <w:r>
              <w:rPr/>
              <w:t> </w:t>
            </w:r>
          </w:p>
        </w:tc>
        <w:tc>
          <w:tcPr>
            <w:tcW w:w="1555" w:type="dxa"/>
            <w:tcBorders/>
            <w:shd w:fill="CCEEFF" w:val="clear"/>
          </w:tcPr>
          <w:p>
            <w:pPr>
              <w:pStyle w:val="TableContents"/>
              <w:bidi w:val="0"/>
              <w:spacing w:before="0" w:after="283"/>
              <w:jc w:val="right"/>
              <w:rPr/>
            </w:pPr>
            <w:r>
              <w:rPr/>
              <w:t>Sep-23</w:t>
            </w:r>
          </w:p>
        </w:tc>
        <w:tc>
          <w:tcPr>
            <w:tcW w:w="60" w:type="dxa"/>
            <w:tcBorders/>
            <w:shd w:fill="CCEEFF" w:val="clear"/>
          </w:tcPr>
          <w:p>
            <w:pPr>
              <w:pStyle w:val="TableContents"/>
              <w:bidi w:val="0"/>
              <w:spacing w:before="0" w:after="283"/>
              <w:jc w:val="left"/>
              <w:rPr/>
            </w:pPr>
            <w:r>
              <w:rPr/>
              <w:t> </w:t>
            </w:r>
          </w:p>
        </w:tc>
      </w:tr>
      <w:tr>
        <w:trPr/>
        <w:tc>
          <w:tcPr>
            <w:tcW w:w="1715" w:type="dxa"/>
            <w:tcBorders/>
          </w:tcPr>
          <w:p>
            <w:pPr>
              <w:pStyle w:val="TableContents"/>
              <w:bidi w:val="0"/>
              <w:spacing w:before="0" w:after="0"/>
              <w:jc w:val="left"/>
              <w:rPr>
                <w:rFonts w:ascii="Times New Roman" w:hAnsi="Times New Roman"/>
                <w:sz w:val="20"/>
              </w:rPr>
            </w:pPr>
            <w:r>
              <w:rPr>
                <w:rFonts w:ascii="Times New Roman" w:hAnsi="Times New Roman"/>
                <w:sz w:val="20"/>
              </w:rPr>
              <w:t>Navios Helios</w:t>
            </w:r>
          </w:p>
        </w:tc>
        <w:tc>
          <w:tcPr>
            <w:tcW w:w="120" w:type="dxa"/>
            <w:tcBorders/>
            <w:vAlign w:val="bottom"/>
          </w:tcPr>
          <w:p>
            <w:pPr>
              <w:pStyle w:val="TableContents"/>
              <w:bidi w:val="0"/>
              <w:spacing w:before="0" w:after="283"/>
              <w:jc w:val="left"/>
              <w:rPr/>
            </w:pPr>
            <w:r>
              <w:rPr/>
              <w:t>  </w:t>
            </w:r>
          </w:p>
        </w:tc>
        <w:tc>
          <w:tcPr>
            <w:tcW w:w="1625" w:type="dxa"/>
            <w:tcBorders/>
          </w:tcPr>
          <w:p>
            <w:pPr>
              <w:pStyle w:val="TableContents"/>
              <w:bidi w:val="0"/>
              <w:spacing w:before="0" w:after="283"/>
              <w:jc w:val="center"/>
              <w:rPr/>
            </w:pPr>
            <w:r>
              <w:rPr/>
              <w:t>Panamax</w:t>
            </w:r>
          </w:p>
        </w:tc>
        <w:tc>
          <w:tcPr>
            <w:tcW w:w="120" w:type="dxa"/>
            <w:tcBorders/>
            <w:vAlign w:val="bottom"/>
          </w:tcPr>
          <w:p>
            <w:pPr>
              <w:pStyle w:val="TableContents"/>
              <w:bidi w:val="0"/>
              <w:spacing w:before="0" w:after="283"/>
              <w:jc w:val="left"/>
              <w:rPr/>
            </w:pPr>
            <w:r>
              <w:rPr/>
              <w:t>  </w:t>
            </w:r>
          </w:p>
        </w:tc>
        <w:tc>
          <w:tcPr>
            <w:tcW w:w="515" w:type="dxa"/>
            <w:tcBorders/>
          </w:tcPr>
          <w:p>
            <w:pPr>
              <w:pStyle w:val="TableContents"/>
              <w:bidi w:val="0"/>
              <w:spacing w:before="0" w:after="283"/>
              <w:jc w:val="center"/>
              <w:rPr/>
            </w:pPr>
            <w:r>
              <w:rPr/>
              <w:t>2005</w:t>
            </w:r>
          </w:p>
        </w:tc>
        <w:tc>
          <w:tcPr>
            <w:tcW w:w="12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77,075</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pPr>
            <w:r>
              <w:rPr/>
              <w:t> </w:t>
            </w:r>
          </w:p>
        </w:tc>
        <w:tc>
          <w:tcPr>
            <w:tcW w:w="1151"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5" w:type="dxa"/>
            <w:tcBorders/>
          </w:tcPr>
          <w:p>
            <w:pPr>
              <w:pStyle w:val="TableContents"/>
              <w:bidi w:val="0"/>
              <w:spacing w:before="0" w:after="283"/>
              <w:jc w:val="center"/>
              <w:rPr/>
            </w:pPr>
            <w:r>
              <w:rPr/>
              <w:t>100.0% average BPI 4TC</w:t>
            </w:r>
          </w:p>
        </w:tc>
        <w:tc>
          <w:tcPr>
            <w:tcW w:w="120" w:type="dxa"/>
            <w:tcBorders/>
            <w:vAlign w:val="bottom"/>
          </w:tcPr>
          <w:p>
            <w:pPr>
              <w:pStyle w:val="TableContents"/>
              <w:bidi w:val="0"/>
              <w:spacing w:before="0" w:after="283"/>
              <w:jc w:val="left"/>
              <w:rPr/>
            </w:pPr>
            <w:r>
              <w:rPr/>
              <w:t>  </w:t>
            </w:r>
          </w:p>
        </w:tc>
        <w:tc>
          <w:tcPr>
            <w:tcW w:w="175" w:type="dxa"/>
            <w:tcBorders/>
          </w:tcPr>
          <w:p>
            <w:pPr>
              <w:pStyle w:val="TableContents"/>
              <w:bidi w:val="0"/>
              <w:spacing w:before="0" w:after="283"/>
              <w:jc w:val="left"/>
              <w:rPr/>
            </w:pPr>
            <w:r>
              <w:rPr/>
              <w:t> </w:t>
            </w:r>
          </w:p>
        </w:tc>
        <w:tc>
          <w:tcPr>
            <w:tcW w:w="1555" w:type="dxa"/>
            <w:tcBorders/>
          </w:tcPr>
          <w:p>
            <w:pPr>
              <w:pStyle w:val="TableContents"/>
              <w:bidi w:val="0"/>
              <w:spacing w:before="0" w:after="283"/>
              <w:jc w:val="right"/>
              <w:rPr/>
            </w:pPr>
            <w:r>
              <w:rPr/>
              <w:t>Jan-24</w:t>
            </w:r>
          </w:p>
        </w:tc>
        <w:tc>
          <w:tcPr>
            <w:tcW w:w="60" w:type="dxa"/>
            <w:tcBorders/>
          </w:tcPr>
          <w:p>
            <w:pPr>
              <w:pStyle w:val="TableContents"/>
              <w:bidi w:val="0"/>
              <w:spacing w:before="0" w:after="283"/>
              <w:jc w:val="left"/>
              <w:rPr/>
            </w:pPr>
            <w:r>
              <w:rPr/>
              <w:t> </w:t>
            </w:r>
          </w:p>
        </w:tc>
      </w:tr>
      <w:tr>
        <w:trPr/>
        <w:tc>
          <w:tcPr>
            <w:tcW w:w="1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Apollon I</w:t>
            </w:r>
          </w:p>
        </w:tc>
        <w:tc>
          <w:tcPr>
            <w:tcW w:w="120" w:type="dxa"/>
            <w:tcBorders/>
            <w:shd w:fill="CCEEFF" w:val="clear"/>
            <w:vAlign w:val="bottom"/>
          </w:tcPr>
          <w:p>
            <w:pPr>
              <w:pStyle w:val="TableContents"/>
              <w:bidi w:val="0"/>
              <w:spacing w:before="0" w:after="283"/>
              <w:jc w:val="left"/>
              <w:rPr/>
            </w:pPr>
            <w:r>
              <w:rPr/>
              <w:t>  </w:t>
            </w:r>
          </w:p>
        </w:tc>
        <w:tc>
          <w:tcPr>
            <w:tcW w:w="1625" w:type="dxa"/>
            <w:tcBorders/>
            <w:shd w:fill="CCEEFF" w:val="clear"/>
          </w:tcPr>
          <w:p>
            <w:pPr>
              <w:pStyle w:val="TableContents"/>
              <w:bidi w:val="0"/>
              <w:spacing w:before="0" w:after="283"/>
              <w:jc w:val="center"/>
              <w:rPr/>
            </w:pPr>
            <w:r>
              <w:rPr/>
              <w:t>Panamax</w:t>
            </w:r>
          </w:p>
        </w:tc>
        <w:tc>
          <w:tcPr>
            <w:tcW w:w="120" w:type="dxa"/>
            <w:tcBorders/>
            <w:shd w:fill="CCEEFF" w:val="clear"/>
            <w:vAlign w:val="bottom"/>
          </w:tcPr>
          <w:p>
            <w:pPr>
              <w:pStyle w:val="TableContents"/>
              <w:bidi w:val="0"/>
              <w:spacing w:before="0" w:after="283"/>
              <w:jc w:val="left"/>
              <w:rPr/>
            </w:pPr>
            <w:r>
              <w:rPr/>
              <w:t>  </w:t>
            </w:r>
          </w:p>
        </w:tc>
        <w:tc>
          <w:tcPr>
            <w:tcW w:w="515" w:type="dxa"/>
            <w:tcBorders/>
            <w:shd w:fill="CCEEFF" w:val="clear"/>
          </w:tcPr>
          <w:p>
            <w:pPr>
              <w:pStyle w:val="TableContents"/>
              <w:bidi w:val="0"/>
              <w:spacing w:before="0" w:after="283"/>
              <w:jc w:val="center"/>
              <w:rPr/>
            </w:pPr>
            <w:r>
              <w:rPr/>
              <w:t>2005</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right"/>
              <w:rPr/>
            </w:pPr>
            <w:r>
              <w:rPr/>
              <w:t>87,052</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tcPr>
          <w:p>
            <w:pPr>
              <w:pStyle w:val="TableContents"/>
              <w:bidi w:val="0"/>
              <w:spacing w:before="0" w:after="283"/>
              <w:jc w:val="left"/>
              <w:rPr/>
            </w:pPr>
            <w:r>
              <w:rPr/>
              <w:t> </w:t>
            </w:r>
          </w:p>
        </w:tc>
        <w:tc>
          <w:tcPr>
            <w:tcW w:w="1151"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65" w:type="dxa"/>
            <w:tcBorders/>
            <w:shd w:fill="CCEEFF" w:val="clear"/>
          </w:tcPr>
          <w:p>
            <w:pPr>
              <w:pStyle w:val="TableContents"/>
              <w:bidi w:val="0"/>
              <w:spacing w:before="0" w:after="283"/>
              <w:jc w:val="center"/>
              <w:rPr/>
            </w:pPr>
            <w:r>
              <w:rPr/>
              <w:t>105.0% average BPI 4TC</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tcPr>
          <w:p>
            <w:pPr>
              <w:pStyle w:val="TableContents"/>
              <w:bidi w:val="0"/>
              <w:spacing w:before="0" w:after="283"/>
              <w:jc w:val="left"/>
              <w:rPr/>
            </w:pPr>
            <w:r>
              <w:rPr/>
              <w:t> </w:t>
            </w:r>
          </w:p>
        </w:tc>
        <w:tc>
          <w:tcPr>
            <w:tcW w:w="1555" w:type="dxa"/>
            <w:tcBorders/>
            <w:shd w:fill="CCEEFF" w:val="clear"/>
          </w:tcPr>
          <w:p>
            <w:pPr>
              <w:pStyle w:val="TableContents"/>
              <w:bidi w:val="0"/>
              <w:spacing w:before="0" w:after="283"/>
              <w:jc w:val="right"/>
              <w:rPr/>
            </w:pPr>
            <w:r>
              <w:rPr/>
              <w:t>Jul-23</w:t>
            </w:r>
          </w:p>
        </w:tc>
        <w:tc>
          <w:tcPr>
            <w:tcW w:w="60" w:type="dxa"/>
            <w:tcBorders/>
            <w:shd w:fill="CCEEFF" w:val="clear"/>
          </w:tcPr>
          <w:p>
            <w:pPr>
              <w:pStyle w:val="TableContents"/>
              <w:bidi w:val="0"/>
              <w:spacing w:before="0" w:after="283"/>
              <w:jc w:val="left"/>
              <w:rPr/>
            </w:pPr>
            <w:r>
              <w:rPr/>
              <w:t> </w:t>
            </w:r>
          </w:p>
        </w:tc>
      </w:tr>
      <w:tr>
        <w:trPr/>
        <w:tc>
          <w:tcPr>
            <w:tcW w:w="1715" w:type="dxa"/>
            <w:tcBorders/>
          </w:tcPr>
          <w:p>
            <w:pPr>
              <w:pStyle w:val="TableContents"/>
              <w:bidi w:val="0"/>
              <w:spacing w:before="0" w:after="0"/>
              <w:jc w:val="left"/>
              <w:rPr>
                <w:rFonts w:ascii="Times New Roman" w:hAnsi="Times New Roman"/>
                <w:sz w:val="20"/>
              </w:rPr>
            </w:pPr>
            <w:r>
              <w:rPr>
                <w:rFonts w:ascii="Times New Roman" w:hAnsi="Times New Roman"/>
                <w:sz w:val="20"/>
              </w:rPr>
              <w:t>N Amalthia</w:t>
            </w:r>
          </w:p>
        </w:tc>
        <w:tc>
          <w:tcPr>
            <w:tcW w:w="120" w:type="dxa"/>
            <w:tcBorders/>
            <w:vAlign w:val="bottom"/>
          </w:tcPr>
          <w:p>
            <w:pPr>
              <w:pStyle w:val="TableContents"/>
              <w:bidi w:val="0"/>
              <w:spacing w:before="0" w:after="283"/>
              <w:jc w:val="left"/>
              <w:rPr/>
            </w:pPr>
            <w:r>
              <w:rPr/>
              <w:t>  </w:t>
            </w:r>
          </w:p>
        </w:tc>
        <w:tc>
          <w:tcPr>
            <w:tcW w:w="1625" w:type="dxa"/>
            <w:tcBorders/>
          </w:tcPr>
          <w:p>
            <w:pPr>
              <w:pStyle w:val="TableContents"/>
              <w:bidi w:val="0"/>
              <w:spacing w:before="0" w:after="283"/>
              <w:jc w:val="center"/>
              <w:rPr/>
            </w:pPr>
            <w:r>
              <w:rPr/>
              <w:t>Panamax</w:t>
            </w:r>
          </w:p>
        </w:tc>
        <w:tc>
          <w:tcPr>
            <w:tcW w:w="120" w:type="dxa"/>
            <w:tcBorders/>
            <w:vAlign w:val="bottom"/>
          </w:tcPr>
          <w:p>
            <w:pPr>
              <w:pStyle w:val="TableContents"/>
              <w:bidi w:val="0"/>
              <w:spacing w:before="0" w:after="283"/>
              <w:jc w:val="left"/>
              <w:rPr/>
            </w:pPr>
            <w:r>
              <w:rPr/>
              <w:t>  </w:t>
            </w:r>
          </w:p>
        </w:tc>
        <w:tc>
          <w:tcPr>
            <w:tcW w:w="515" w:type="dxa"/>
            <w:tcBorders/>
          </w:tcPr>
          <w:p>
            <w:pPr>
              <w:pStyle w:val="TableContents"/>
              <w:bidi w:val="0"/>
              <w:spacing w:before="0" w:after="283"/>
              <w:jc w:val="center"/>
              <w:rPr/>
            </w:pPr>
            <w:r>
              <w:rPr/>
              <w:t>2006</w:t>
            </w:r>
          </w:p>
        </w:tc>
        <w:tc>
          <w:tcPr>
            <w:tcW w:w="12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75,318</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pPr>
            <w:r>
              <w:rPr/>
              <w:t> </w:t>
            </w:r>
          </w:p>
        </w:tc>
        <w:tc>
          <w:tcPr>
            <w:tcW w:w="1151"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5" w:type="dxa"/>
            <w:tcBorders/>
          </w:tcPr>
          <w:p>
            <w:pPr>
              <w:pStyle w:val="TableContents"/>
              <w:bidi w:val="0"/>
              <w:spacing w:before="0" w:after="283"/>
              <w:jc w:val="center"/>
              <w:rPr/>
            </w:pPr>
            <w:r>
              <w:rPr/>
              <w:t>90.0% average BPI 82</w:t>
            </w:r>
          </w:p>
        </w:tc>
        <w:tc>
          <w:tcPr>
            <w:tcW w:w="120" w:type="dxa"/>
            <w:tcBorders/>
            <w:vAlign w:val="bottom"/>
          </w:tcPr>
          <w:p>
            <w:pPr>
              <w:pStyle w:val="TableContents"/>
              <w:bidi w:val="0"/>
              <w:spacing w:before="0" w:after="283"/>
              <w:jc w:val="left"/>
              <w:rPr/>
            </w:pPr>
            <w:r>
              <w:rPr/>
              <w:t>  </w:t>
            </w:r>
          </w:p>
        </w:tc>
        <w:tc>
          <w:tcPr>
            <w:tcW w:w="175" w:type="dxa"/>
            <w:tcBorders/>
          </w:tcPr>
          <w:p>
            <w:pPr>
              <w:pStyle w:val="TableContents"/>
              <w:bidi w:val="0"/>
              <w:spacing w:before="0" w:after="283"/>
              <w:jc w:val="left"/>
              <w:rPr/>
            </w:pPr>
            <w:r>
              <w:rPr/>
              <w:t> </w:t>
            </w:r>
          </w:p>
        </w:tc>
        <w:tc>
          <w:tcPr>
            <w:tcW w:w="1555" w:type="dxa"/>
            <w:tcBorders/>
          </w:tcPr>
          <w:p>
            <w:pPr>
              <w:pStyle w:val="TableContents"/>
              <w:bidi w:val="0"/>
              <w:spacing w:before="0" w:after="283"/>
              <w:jc w:val="right"/>
              <w:rPr/>
            </w:pPr>
            <w:r>
              <w:rPr/>
              <w:t>Apr-24</w:t>
            </w:r>
          </w:p>
        </w:tc>
        <w:tc>
          <w:tcPr>
            <w:tcW w:w="60" w:type="dxa"/>
            <w:tcBorders/>
          </w:tcPr>
          <w:p>
            <w:pPr>
              <w:pStyle w:val="TableContents"/>
              <w:bidi w:val="0"/>
              <w:spacing w:before="0" w:after="283"/>
              <w:jc w:val="left"/>
              <w:rPr/>
            </w:pPr>
            <w:r>
              <w:rPr/>
              <w:t> </w:t>
            </w:r>
          </w:p>
        </w:tc>
      </w:tr>
      <w:tr>
        <w:trPr/>
        <w:tc>
          <w:tcPr>
            <w:tcW w:w="1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Sagittarius(5)</w:t>
            </w:r>
          </w:p>
        </w:tc>
        <w:tc>
          <w:tcPr>
            <w:tcW w:w="120" w:type="dxa"/>
            <w:tcBorders/>
            <w:shd w:fill="CCEEFF" w:val="clear"/>
            <w:vAlign w:val="bottom"/>
          </w:tcPr>
          <w:p>
            <w:pPr>
              <w:pStyle w:val="TableContents"/>
              <w:bidi w:val="0"/>
              <w:spacing w:before="0" w:after="283"/>
              <w:jc w:val="left"/>
              <w:rPr/>
            </w:pPr>
            <w:r>
              <w:rPr/>
              <w:t>  </w:t>
            </w:r>
          </w:p>
        </w:tc>
        <w:tc>
          <w:tcPr>
            <w:tcW w:w="1625" w:type="dxa"/>
            <w:tcBorders/>
            <w:shd w:fill="CCEEFF" w:val="clear"/>
          </w:tcPr>
          <w:p>
            <w:pPr>
              <w:pStyle w:val="TableContents"/>
              <w:bidi w:val="0"/>
              <w:spacing w:before="0" w:after="283"/>
              <w:jc w:val="center"/>
              <w:rPr/>
            </w:pPr>
            <w:r>
              <w:rPr/>
              <w:t>Panamax</w:t>
            </w:r>
          </w:p>
        </w:tc>
        <w:tc>
          <w:tcPr>
            <w:tcW w:w="120" w:type="dxa"/>
            <w:tcBorders/>
            <w:shd w:fill="CCEEFF" w:val="clear"/>
            <w:vAlign w:val="bottom"/>
          </w:tcPr>
          <w:p>
            <w:pPr>
              <w:pStyle w:val="TableContents"/>
              <w:bidi w:val="0"/>
              <w:spacing w:before="0" w:after="283"/>
              <w:jc w:val="left"/>
              <w:rPr/>
            </w:pPr>
            <w:r>
              <w:rPr/>
              <w:t>  </w:t>
            </w:r>
          </w:p>
        </w:tc>
        <w:tc>
          <w:tcPr>
            <w:tcW w:w="515" w:type="dxa"/>
            <w:tcBorders/>
            <w:shd w:fill="CCEEFF" w:val="clear"/>
          </w:tcPr>
          <w:p>
            <w:pPr>
              <w:pStyle w:val="TableContents"/>
              <w:bidi w:val="0"/>
              <w:spacing w:before="0" w:after="283"/>
              <w:jc w:val="center"/>
              <w:rPr/>
            </w:pPr>
            <w:r>
              <w:rPr/>
              <w:t>2006</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right"/>
              <w:rPr/>
            </w:pPr>
            <w:r>
              <w:rPr/>
              <w:t>75,756</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tcPr>
          <w:p>
            <w:pPr>
              <w:pStyle w:val="TableContents"/>
              <w:bidi w:val="0"/>
              <w:spacing w:before="0" w:after="283"/>
              <w:jc w:val="left"/>
              <w:rPr/>
            </w:pPr>
            <w:r>
              <w:rPr/>
              <w:t> </w:t>
            </w:r>
          </w:p>
        </w:tc>
        <w:tc>
          <w:tcPr>
            <w:tcW w:w="1151"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65" w:type="dxa"/>
            <w:tcBorders/>
            <w:shd w:fill="CCEEFF" w:val="clear"/>
          </w:tcPr>
          <w:p>
            <w:pPr>
              <w:pStyle w:val="TableContents"/>
              <w:bidi w:val="0"/>
              <w:spacing w:before="0" w:after="283"/>
              <w:jc w:val="center"/>
              <w:rPr/>
            </w:pPr>
            <w:r>
              <w:rPr/>
              <w:t>100.0% average BPI 4TC</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tcPr>
          <w:p>
            <w:pPr>
              <w:pStyle w:val="TableContents"/>
              <w:bidi w:val="0"/>
              <w:spacing w:before="0" w:after="283"/>
              <w:jc w:val="left"/>
              <w:rPr/>
            </w:pPr>
            <w:r>
              <w:rPr/>
              <w:t> </w:t>
            </w:r>
          </w:p>
        </w:tc>
        <w:tc>
          <w:tcPr>
            <w:tcW w:w="1555" w:type="dxa"/>
            <w:tcBorders/>
            <w:shd w:fill="CCEEFF" w:val="clear"/>
          </w:tcPr>
          <w:p>
            <w:pPr>
              <w:pStyle w:val="TableContents"/>
              <w:bidi w:val="0"/>
              <w:spacing w:before="0" w:after="283"/>
              <w:jc w:val="right"/>
              <w:rPr/>
            </w:pPr>
            <w:r>
              <w:rPr/>
              <w:t>Sep-23</w:t>
            </w:r>
          </w:p>
        </w:tc>
        <w:tc>
          <w:tcPr>
            <w:tcW w:w="60" w:type="dxa"/>
            <w:tcBorders/>
            <w:shd w:fill="CCEEFF" w:val="clear"/>
          </w:tcPr>
          <w:p>
            <w:pPr>
              <w:pStyle w:val="TableContents"/>
              <w:bidi w:val="0"/>
              <w:spacing w:before="0" w:after="283"/>
              <w:jc w:val="left"/>
              <w:rPr/>
            </w:pPr>
            <w:r>
              <w:rPr/>
              <w:t> </w:t>
            </w:r>
          </w:p>
        </w:tc>
      </w:tr>
      <w:tr>
        <w:trPr/>
        <w:tc>
          <w:tcPr>
            <w:tcW w:w="1715" w:type="dxa"/>
            <w:tcBorders/>
          </w:tcPr>
          <w:p>
            <w:pPr>
              <w:pStyle w:val="TableContents"/>
              <w:bidi w:val="0"/>
              <w:spacing w:before="0" w:after="0"/>
              <w:jc w:val="left"/>
              <w:rPr>
                <w:rFonts w:ascii="Times New Roman" w:hAnsi="Times New Roman"/>
                <w:sz w:val="20"/>
              </w:rPr>
            </w:pPr>
            <w:r>
              <w:rPr>
                <w:rFonts w:ascii="Times New Roman" w:hAnsi="Times New Roman"/>
                <w:sz w:val="20"/>
              </w:rPr>
              <w:t>Navios Galileo</w:t>
            </w:r>
          </w:p>
        </w:tc>
        <w:tc>
          <w:tcPr>
            <w:tcW w:w="120" w:type="dxa"/>
            <w:tcBorders/>
            <w:vAlign w:val="bottom"/>
          </w:tcPr>
          <w:p>
            <w:pPr>
              <w:pStyle w:val="TableContents"/>
              <w:bidi w:val="0"/>
              <w:spacing w:before="0" w:after="283"/>
              <w:jc w:val="left"/>
              <w:rPr/>
            </w:pPr>
            <w:r>
              <w:rPr/>
              <w:t>  </w:t>
            </w:r>
          </w:p>
        </w:tc>
        <w:tc>
          <w:tcPr>
            <w:tcW w:w="1625" w:type="dxa"/>
            <w:tcBorders/>
          </w:tcPr>
          <w:p>
            <w:pPr>
              <w:pStyle w:val="TableContents"/>
              <w:bidi w:val="0"/>
              <w:spacing w:before="0" w:after="283"/>
              <w:jc w:val="center"/>
              <w:rPr/>
            </w:pPr>
            <w:r>
              <w:rPr/>
              <w:t>Panamax</w:t>
            </w:r>
          </w:p>
        </w:tc>
        <w:tc>
          <w:tcPr>
            <w:tcW w:w="120" w:type="dxa"/>
            <w:tcBorders/>
            <w:vAlign w:val="bottom"/>
          </w:tcPr>
          <w:p>
            <w:pPr>
              <w:pStyle w:val="TableContents"/>
              <w:bidi w:val="0"/>
              <w:spacing w:before="0" w:after="283"/>
              <w:jc w:val="left"/>
              <w:rPr/>
            </w:pPr>
            <w:r>
              <w:rPr/>
              <w:t>  </w:t>
            </w:r>
          </w:p>
        </w:tc>
        <w:tc>
          <w:tcPr>
            <w:tcW w:w="515" w:type="dxa"/>
            <w:tcBorders/>
          </w:tcPr>
          <w:p>
            <w:pPr>
              <w:pStyle w:val="TableContents"/>
              <w:bidi w:val="0"/>
              <w:spacing w:before="0" w:after="283"/>
              <w:jc w:val="center"/>
              <w:rPr/>
            </w:pPr>
            <w:r>
              <w:rPr/>
              <w:t>2006</w:t>
            </w:r>
          </w:p>
        </w:tc>
        <w:tc>
          <w:tcPr>
            <w:tcW w:w="12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76,596</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pPr>
            <w:r>
              <w:rPr/>
              <w:t> </w:t>
            </w:r>
          </w:p>
        </w:tc>
        <w:tc>
          <w:tcPr>
            <w:tcW w:w="1151" w:type="dxa"/>
            <w:tcBorders/>
          </w:tcPr>
          <w:p>
            <w:pPr>
              <w:pStyle w:val="TableContents"/>
              <w:bidi w:val="0"/>
              <w:spacing w:before="0" w:after="283"/>
              <w:jc w:val="right"/>
              <w:rPr/>
            </w:pPr>
            <w:r>
              <w:rPr/>
              <w:t>Scheduled</w:t>
              <w:br/>
              <w:t>repairs</w:t>
            </w:r>
          </w:p>
        </w:tc>
        <w:tc>
          <w:tcPr>
            <w:tcW w:w="60" w:type="dxa"/>
            <w:tcBorders/>
          </w:tcPr>
          <w:p>
            <w:pPr>
              <w:pStyle w:val="TableContents"/>
              <w:bidi w:val="0"/>
              <w:spacing w:before="0" w:after="283"/>
              <w:jc w:val="left"/>
              <w:rPr/>
            </w:pPr>
            <w:r>
              <w:rPr/>
              <w:t> </w:t>
            </w:r>
            <w:r>
              <w:rPr/>
              <w:br/>
              <w:t> </w:t>
            </w:r>
          </w:p>
        </w:tc>
        <w:tc>
          <w:tcPr>
            <w:tcW w:w="120" w:type="dxa"/>
            <w:tcBorders/>
            <w:vAlign w:val="bottom"/>
          </w:tcPr>
          <w:p>
            <w:pPr>
              <w:pStyle w:val="TableContents"/>
              <w:bidi w:val="0"/>
              <w:spacing w:before="0" w:after="283"/>
              <w:jc w:val="left"/>
              <w:rPr/>
            </w:pPr>
            <w:r>
              <w:rPr/>
              <w:t>  </w:t>
            </w:r>
          </w:p>
        </w:tc>
        <w:tc>
          <w:tcPr>
            <w:tcW w:w="2165" w:type="dxa"/>
            <w:tcBorders/>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175" w:type="dxa"/>
            <w:tcBorders/>
          </w:tcPr>
          <w:p>
            <w:pPr>
              <w:pStyle w:val="TableContents"/>
              <w:bidi w:val="0"/>
              <w:spacing w:before="0" w:after="283"/>
              <w:jc w:val="left"/>
              <w:rPr/>
            </w:pPr>
            <w:r>
              <w:rPr/>
              <w:t> </w:t>
            </w:r>
          </w:p>
        </w:tc>
        <w:tc>
          <w:tcPr>
            <w:tcW w:w="1555"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r>
      <w:tr>
        <w:trPr/>
        <w:tc>
          <w:tcPr>
            <w:tcW w:w="1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 Bonanza</w:t>
            </w:r>
          </w:p>
        </w:tc>
        <w:tc>
          <w:tcPr>
            <w:tcW w:w="120" w:type="dxa"/>
            <w:tcBorders/>
            <w:shd w:fill="CCEEFF" w:val="clear"/>
            <w:vAlign w:val="bottom"/>
          </w:tcPr>
          <w:p>
            <w:pPr>
              <w:pStyle w:val="TableContents"/>
              <w:bidi w:val="0"/>
              <w:spacing w:before="0" w:after="283"/>
              <w:jc w:val="left"/>
              <w:rPr/>
            </w:pPr>
            <w:r>
              <w:rPr/>
              <w:t>  </w:t>
            </w:r>
          </w:p>
        </w:tc>
        <w:tc>
          <w:tcPr>
            <w:tcW w:w="1625" w:type="dxa"/>
            <w:tcBorders/>
            <w:shd w:fill="CCEEFF" w:val="clear"/>
          </w:tcPr>
          <w:p>
            <w:pPr>
              <w:pStyle w:val="TableContents"/>
              <w:bidi w:val="0"/>
              <w:spacing w:before="0" w:after="283"/>
              <w:jc w:val="center"/>
              <w:rPr/>
            </w:pPr>
            <w:r>
              <w:rPr/>
              <w:t>Panamax</w:t>
            </w:r>
          </w:p>
        </w:tc>
        <w:tc>
          <w:tcPr>
            <w:tcW w:w="120" w:type="dxa"/>
            <w:tcBorders/>
            <w:shd w:fill="CCEEFF" w:val="clear"/>
            <w:vAlign w:val="bottom"/>
          </w:tcPr>
          <w:p>
            <w:pPr>
              <w:pStyle w:val="TableContents"/>
              <w:bidi w:val="0"/>
              <w:spacing w:before="0" w:after="283"/>
              <w:jc w:val="left"/>
              <w:rPr/>
            </w:pPr>
            <w:r>
              <w:rPr/>
              <w:t>  </w:t>
            </w:r>
          </w:p>
        </w:tc>
        <w:tc>
          <w:tcPr>
            <w:tcW w:w="515" w:type="dxa"/>
            <w:tcBorders/>
            <w:shd w:fill="CCEEFF" w:val="clear"/>
          </w:tcPr>
          <w:p>
            <w:pPr>
              <w:pStyle w:val="TableContents"/>
              <w:bidi w:val="0"/>
              <w:spacing w:before="0" w:after="283"/>
              <w:jc w:val="center"/>
              <w:rPr/>
            </w:pPr>
            <w:r>
              <w:rPr/>
              <w:t>2006</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right"/>
              <w:rPr/>
            </w:pPr>
            <w:r>
              <w:rPr/>
              <w:t>76,596</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tcPr>
          <w:p>
            <w:pPr>
              <w:pStyle w:val="TableContents"/>
              <w:bidi w:val="0"/>
              <w:spacing w:before="0" w:after="283"/>
              <w:jc w:val="left"/>
              <w:rPr/>
            </w:pPr>
            <w:r>
              <w:rPr/>
              <w:t> </w:t>
            </w:r>
          </w:p>
        </w:tc>
        <w:tc>
          <w:tcPr>
            <w:tcW w:w="1151"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65" w:type="dxa"/>
            <w:tcBorders/>
            <w:shd w:fill="CCEEFF" w:val="clear"/>
          </w:tcPr>
          <w:p>
            <w:pPr>
              <w:pStyle w:val="TableContents"/>
              <w:bidi w:val="0"/>
              <w:spacing w:before="0" w:after="283"/>
              <w:jc w:val="center"/>
              <w:rPr/>
            </w:pPr>
            <w:r>
              <w:rPr/>
              <w:t>100.0% average BPI 4TC</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tcPr>
          <w:p>
            <w:pPr>
              <w:pStyle w:val="TableContents"/>
              <w:bidi w:val="0"/>
              <w:spacing w:before="0" w:after="283"/>
              <w:jc w:val="left"/>
              <w:rPr/>
            </w:pPr>
            <w:r>
              <w:rPr/>
              <w:t> </w:t>
            </w:r>
          </w:p>
        </w:tc>
        <w:tc>
          <w:tcPr>
            <w:tcW w:w="1555" w:type="dxa"/>
            <w:tcBorders/>
            <w:shd w:fill="CCEEFF" w:val="clear"/>
          </w:tcPr>
          <w:p>
            <w:pPr>
              <w:pStyle w:val="TableContents"/>
              <w:bidi w:val="0"/>
              <w:spacing w:before="0" w:after="283"/>
              <w:jc w:val="right"/>
              <w:rPr/>
            </w:pPr>
            <w:r>
              <w:rPr/>
              <w:t>Jun-23</w:t>
            </w:r>
          </w:p>
        </w:tc>
        <w:tc>
          <w:tcPr>
            <w:tcW w:w="60" w:type="dxa"/>
            <w:tcBorders/>
            <w:shd w:fill="CCEEFF" w:val="clear"/>
          </w:tcPr>
          <w:p>
            <w:pPr>
              <w:pStyle w:val="TableContents"/>
              <w:bidi w:val="0"/>
              <w:spacing w:before="0" w:after="283"/>
              <w:jc w:val="left"/>
              <w:rPr/>
            </w:pPr>
            <w:r>
              <w:rPr/>
              <w:t> </w:t>
            </w:r>
          </w:p>
        </w:tc>
      </w:tr>
      <w:tr>
        <w:trPr/>
        <w:tc>
          <w:tcPr>
            <w:tcW w:w="171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sz w:val="4"/>
                <w:szCs w:val="4"/>
              </w:rPr>
            </w:pPr>
            <w:r>
              <w:rPr>
                <w:sz w:val="4"/>
                <w:szCs w:val="4"/>
              </w:rPr>
            </w:r>
          </w:p>
        </w:tc>
        <w:tc>
          <w:tcPr>
            <w:tcW w:w="8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pPr>
            <w:r>
              <w:rPr/>
              <w:t>$</w:t>
            </w:r>
          </w:p>
        </w:tc>
        <w:tc>
          <w:tcPr>
            <w:tcW w:w="1151" w:type="dxa"/>
            <w:tcBorders/>
          </w:tcPr>
          <w:p>
            <w:pPr>
              <w:pStyle w:val="TableContents"/>
              <w:bidi w:val="0"/>
              <w:spacing w:before="0" w:after="283"/>
              <w:jc w:val="right"/>
              <w:rPr/>
            </w:pPr>
            <w:r>
              <w:rPr/>
              <w:t>16,405</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5" w:type="dxa"/>
            <w:tcBorders/>
          </w:tcPr>
          <w:p>
            <w:pPr>
              <w:pStyle w:val="TableContents"/>
              <w:bidi w:val="0"/>
              <w:spacing w:before="0" w:after="283"/>
              <w:jc w:val="center"/>
              <w:rPr/>
            </w:pPr>
            <w:r>
              <w:rPr/>
              <w:t>No</w:t>
            </w:r>
          </w:p>
        </w:tc>
        <w:tc>
          <w:tcPr>
            <w:tcW w:w="120" w:type="dxa"/>
            <w:tcBorders/>
            <w:vAlign w:val="bottom"/>
          </w:tcPr>
          <w:p>
            <w:pPr>
              <w:pStyle w:val="TableContents"/>
              <w:bidi w:val="0"/>
              <w:spacing w:before="0" w:after="283"/>
              <w:jc w:val="left"/>
              <w:rPr/>
            </w:pPr>
            <w:r>
              <w:rPr/>
              <w:t>  </w:t>
            </w:r>
          </w:p>
        </w:tc>
        <w:tc>
          <w:tcPr>
            <w:tcW w:w="175" w:type="dxa"/>
            <w:tcBorders/>
          </w:tcPr>
          <w:p>
            <w:pPr>
              <w:pStyle w:val="TableContents"/>
              <w:bidi w:val="0"/>
              <w:spacing w:before="0" w:after="283"/>
              <w:jc w:val="left"/>
              <w:rPr/>
            </w:pPr>
            <w:r>
              <w:rPr/>
              <w:t> </w:t>
            </w:r>
          </w:p>
        </w:tc>
        <w:tc>
          <w:tcPr>
            <w:tcW w:w="1555" w:type="dxa"/>
            <w:tcBorders/>
          </w:tcPr>
          <w:p>
            <w:pPr>
              <w:pStyle w:val="TableContents"/>
              <w:bidi w:val="0"/>
              <w:spacing w:before="0" w:after="283"/>
              <w:jc w:val="right"/>
              <w:rPr/>
            </w:pPr>
            <w:r>
              <w:rPr/>
              <w:t>Sep-23</w:t>
            </w:r>
          </w:p>
        </w:tc>
        <w:tc>
          <w:tcPr>
            <w:tcW w:w="60" w:type="dxa"/>
            <w:tcBorders/>
          </w:tcPr>
          <w:p>
            <w:pPr>
              <w:pStyle w:val="TableContents"/>
              <w:bidi w:val="0"/>
              <w:spacing w:before="0" w:after="283"/>
              <w:jc w:val="left"/>
              <w:rPr/>
            </w:pPr>
            <w:r>
              <w:rPr/>
              <w:t> </w:t>
            </w:r>
          </w:p>
        </w:tc>
      </w:tr>
      <w:tr>
        <w:trPr/>
        <w:tc>
          <w:tcPr>
            <w:tcW w:w="171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62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1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sz w:val="4"/>
                <w:szCs w:val="4"/>
              </w:rPr>
            </w:pPr>
            <w:r>
              <w:rPr>
                <w:sz w:val="4"/>
                <w:szCs w:val="4"/>
              </w:rPr>
            </w:r>
          </w:p>
        </w:tc>
        <w:tc>
          <w:tcPr>
            <w:tcW w:w="8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tcPr>
          <w:p>
            <w:pPr>
              <w:pStyle w:val="TableContents"/>
              <w:bidi w:val="0"/>
              <w:spacing w:before="0" w:after="283"/>
              <w:jc w:val="left"/>
              <w:rPr/>
            </w:pPr>
            <w:r>
              <w:rPr/>
              <w:t> </w:t>
            </w:r>
          </w:p>
        </w:tc>
        <w:tc>
          <w:tcPr>
            <w:tcW w:w="1151"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65" w:type="dxa"/>
            <w:tcBorders/>
            <w:shd w:fill="CCEEFF" w:val="clear"/>
          </w:tcPr>
          <w:p>
            <w:pPr>
              <w:pStyle w:val="TableContents"/>
              <w:bidi w:val="0"/>
              <w:spacing w:before="0" w:after="283"/>
              <w:jc w:val="center"/>
              <w:rPr/>
            </w:pPr>
            <w:r>
              <w:rPr/>
              <w:t>100.0% average BPI 4TC</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tcPr>
          <w:p>
            <w:pPr>
              <w:pStyle w:val="TableContents"/>
              <w:bidi w:val="0"/>
              <w:spacing w:before="0" w:after="283"/>
              <w:jc w:val="left"/>
              <w:rPr/>
            </w:pPr>
            <w:r>
              <w:rPr/>
              <w:t> </w:t>
            </w:r>
          </w:p>
        </w:tc>
        <w:tc>
          <w:tcPr>
            <w:tcW w:w="1555" w:type="dxa"/>
            <w:tcBorders/>
            <w:shd w:fill="CCEEFF" w:val="clear"/>
          </w:tcPr>
          <w:p>
            <w:pPr>
              <w:pStyle w:val="TableContents"/>
              <w:bidi w:val="0"/>
              <w:spacing w:before="0" w:after="283"/>
              <w:jc w:val="right"/>
              <w:rPr/>
            </w:pPr>
            <w:r>
              <w:rPr/>
              <w:t>Apr-24</w:t>
            </w:r>
          </w:p>
        </w:tc>
        <w:tc>
          <w:tcPr>
            <w:tcW w:w="60" w:type="dxa"/>
            <w:tcBorders/>
            <w:shd w:fill="CCEEFF" w:val="clear"/>
          </w:tcPr>
          <w:p>
            <w:pPr>
              <w:pStyle w:val="TableContents"/>
              <w:bidi w:val="0"/>
              <w:spacing w:before="0" w:after="283"/>
              <w:jc w:val="left"/>
              <w:rPr/>
            </w:pPr>
            <w:r>
              <w:rPr/>
              <w:t> </w:t>
            </w:r>
          </w:p>
        </w:tc>
      </w:tr>
      <w:tr>
        <w:trPr/>
        <w:tc>
          <w:tcPr>
            <w:tcW w:w="1715" w:type="dxa"/>
            <w:tcBorders/>
          </w:tcPr>
          <w:p>
            <w:pPr>
              <w:pStyle w:val="TableContents"/>
              <w:bidi w:val="0"/>
              <w:spacing w:before="0" w:after="0"/>
              <w:jc w:val="left"/>
              <w:rPr>
                <w:rFonts w:ascii="Times New Roman" w:hAnsi="Times New Roman"/>
                <w:sz w:val="20"/>
              </w:rPr>
            </w:pPr>
            <w:r>
              <w:rPr>
                <w:rFonts w:ascii="Times New Roman" w:hAnsi="Times New Roman"/>
                <w:sz w:val="20"/>
              </w:rPr>
              <w:t>Navios Harmony</w:t>
            </w:r>
          </w:p>
        </w:tc>
        <w:tc>
          <w:tcPr>
            <w:tcW w:w="120" w:type="dxa"/>
            <w:tcBorders/>
            <w:vAlign w:val="bottom"/>
          </w:tcPr>
          <w:p>
            <w:pPr>
              <w:pStyle w:val="TableContents"/>
              <w:bidi w:val="0"/>
              <w:spacing w:before="0" w:after="283"/>
              <w:jc w:val="left"/>
              <w:rPr/>
            </w:pPr>
            <w:r>
              <w:rPr/>
              <w:t>  </w:t>
            </w:r>
          </w:p>
        </w:tc>
        <w:tc>
          <w:tcPr>
            <w:tcW w:w="1625" w:type="dxa"/>
            <w:tcBorders/>
          </w:tcPr>
          <w:p>
            <w:pPr>
              <w:pStyle w:val="TableContents"/>
              <w:bidi w:val="0"/>
              <w:spacing w:before="0" w:after="283"/>
              <w:jc w:val="center"/>
              <w:rPr/>
            </w:pPr>
            <w:r>
              <w:rPr/>
              <w:t>Panamax</w:t>
            </w:r>
          </w:p>
        </w:tc>
        <w:tc>
          <w:tcPr>
            <w:tcW w:w="120" w:type="dxa"/>
            <w:tcBorders/>
            <w:vAlign w:val="bottom"/>
          </w:tcPr>
          <w:p>
            <w:pPr>
              <w:pStyle w:val="TableContents"/>
              <w:bidi w:val="0"/>
              <w:spacing w:before="0" w:after="283"/>
              <w:jc w:val="left"/>
              <w:rPr/>
            </w:pPr>
            <w:r>
              <w:rPr/>
              <w:t>  </w:t>
            </w:r>
          </w:p>
        </w:tc>
        <w:tc>
          <w:tcPr>
            <w:tcW w:w="515" w:type="dxa"/>
            <w:tcBorders/>
          </w:tcPr>
          <w:p>
            <w:pPr>
              <w:pStyle w:val="TableContents"/>
              <w:bidi w:val="0"/>
              <w:spacing w:before="0" w:after="283"/>
              <w:jc w:val="center"/>
              <w:rPr/>
            </w:pPr>
            <w:r>
              <w:rPr/>
              <w:t>2006</w:t>
            </w:r>
          </w:p>
        </w:tc>
        <w:tc>
          <w:tcPr>
            <w:tcW w:w="12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82,790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pPr>
            <w:r>
              <w:rPr/>
              <w:t>$</w:t>
            </w:r>
          </w:p>
        </w:tc>
        <w:tc>
          <w:tcPr>
            <w:tcW w:w="1151" w:type="dxa"/>
            <w:tcBorders/>
          </w:tcPr>
          <w:p>
            <w:pPr>
              <w:pStyle w:val="TableContents"/>
              <w:bidi w:val="0"/>
              <w:spacing w:before="0" w:after="283"/>
              <w:jc w:val="right"/>
              <w:rPr/>
            </w:pPr>
            <w:r>
              <w:rPr/>
              <w:t>11,875</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65" w:type="dxa"/>
            <w:tcBorders/>
          </w:tcPr>
          <w:p>
            <w:pPr>
              <w:pStyle w:val="TableContents"/>
              <w:bidi w:val="0"/>
              <w:spacing w:before="0" w:after="283"/>
              <w:jc w:val="center"/>
              <w:rPr/>
            </w:pPr>
            <w:r>
              <w:rPr/>
              <w:t>No</w:t>
            </w:r>
          </w:p>
        </w:tc>
        <w:tc>
          <w:tcPr>
            <w:tcW w:w="120" w:type="dxa"/>
            <w:tcBorders/>
            <w:vAlign w:val="bottom"/>
          </w:tcPr>
          <w:p>
            <w:pPr>
              <w:pStyle w:val="TableContents"/>
              <w:bidi w:val="0"/>
              <w:spacing w:before="0" w:after="283"/>
              <w:jc w:val="left"/>
              <w:rPr/>
            </w:pPr>
            <w:r>
              <w:rPr/>
              <w:t>  </w:t>
            </w:r>
          </w:p>
        </w:tc>
        <w:tc>
          <w:tcPr>
            <w:tcW w:w="175" w:type="dxa"/>
            <w:tcBorders/>
          </w:tcPr>
          <w:p>
            <w:pPr>
              <w:pStyle w:val="TableContents"/>
              <w:bidi w:val="0"/>
              <w:spacing w:before="0" w:after="283"/>
              <w:jc w:val="left"/>
              <w:rPr/>
            </w:pPr>
            <w:r>
              <w:rPr/>
              <w:t> </w:t>
            </w:r>
          </w:p>
        </w:tc>
        <w:tc>
          <w:tcPr>
            <w:tcW w:w="1555" w:type="dxa"/>
            <w:tcBorders/>
          </w:tcPr>
          <w:p>
            <w:pPr>
              <w:pStyle w:val="TableContents"/>
              <w:bidi w:val="0"/>
              <w:spacing w:before="0" w:after="283"/>
              <w:jc w:val="right"/>
              <w:rPr/>
            </w:pPr>
            <w:r>
              <w:rPr/>
              <w:t>May-23</w:t>
            </w:r>
          </w:p>
        </w:tc>
        <w:tc>
          <w:tcPr>
            <w:tcW w:w="60"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2524"/>
        <w:gridCol w:w="132"/>
        <w:gridCol w:w="923"/>
        <w:gridCol w:w="132"/>
        <w:gridCol w:w="502"/>
        <w:gridCol w:w="132"/>
        <w:gridCol w:w="60"/>
        <w:gridCol w:w="813"/>
        <w:gridCol w:w="60"/>
        <w:gridCol w:w="132"/>
        <w:gridCol w:w="140"/>
        <w:gridCol w:w="679"/>
        <w:gridCol w:w="60"/>
        <w:gridCol w:w="132"/>
        <w:gridCol w:w="2911"/>
        <w:gridCol w:w="132"/>
        <w:gridCol w:w="60"/>
        <w:gridCol w:w="611"/>
        <w:gridCol w:w="70"/>
      </w:tblGrid>
      <w:tr>
        <w:trPr/>
        <w:tc>
          <w:tcPr>
            <w:tcW w:w="2524"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Copernicus N</w:t>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center"/>
              <w:rPr/>
            </w:pPr>
            <w:r>
              <w:rPr/>
              <w:t>Panamax</w:t>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center"/>
              <w:rPr/>
            </w:pPr>
            <w:r>
              <w:rPr/>
              <w:t>2010</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3" w:type="dxa"/>
            <w:tcBorders/>
            <w:shd w:fill="CCEEFF" w:val="clear"/>
          </w:tcPr>
          <w:p>
            <w:pPr>
              <w:pStyle w:val="TableContents"/>
              <w:bidi w:val="0"/>
              <w:spacing w:before="0" w:after="283"/>
              <w:jc w:val="right"/>
              <w:rPr/>
            </w:pPr>
            <w:r>
              <w:rPr/>
              <w:t>93,062</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679" w:type="dxa"/>
            <w:tcBorders/>
            <w:shd w:fill="CCEEFF" w:val="clear"/>
          </w:tcPr>
          <w:p>
            <w:pPr>
              <w:pStyle w:val="TableContents"/>
              <w:bidi w:val="0"/>
              <w:spacing w:before="0" w:after="283"/>
              <w:jc w:val="right"/>
              <w:rPr/>
            </w:pPr>
            <w:r>
              <w:rPr/>
              <w:t>16,721</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No</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Jun-23</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1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107.0% average BPI 4TC</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Sep-23</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Unity N</w:t>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center"/>
              <w:rPr/>
            </w:pPr>
            <w:r>
              <w:rPr/>
              <w:t>Panamax</w:t>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center"/>
              <w:rPr/>
            </w:pPr>
            <w:r>
              <w:rPr/>
              <w:t>2011</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3" w:type="dxa"/>
            <w:tcBorders/>
            <w:shd w:fill="CCEEFF" w:val="clear"/>
          </w:tcPr>
          <w:p>
            <w:pPr>
              <w:pStyle w:val="TableContents"/>
              <w:bidi w:val="0"/>
              <w:spacing w:before="0" w:after="283"/>
              <w:jc w:val="right"/>
              <w:rPr/>
            </w:pPr>
            <w:r>
              <w:rPr/>
              <w:t>79,642</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100.0% average BPI 4TC</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Oct-23</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0"/>
              <w:jc w:val="left"/>
              <w:rPr>
                <w:rFonts w:ascii="Times New Roman" w:hAnsi="Times New Roman"/>
                <w:sz w:val="20"/>
              </w:rPr>
            </w:pPr>
            <w:r>
              <w:rPr>
                <w:rFonts w:ascii="Times New Roman" w:hAnsi="Times New Roman"/>
                <w:sz w:val="20"/>
              </w:rPr>
              <w:t>Odysseus N</w:t>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center"/>
              <w:rPr/>
            </w:pPr>
            <w:r>
              <w:rPr/>
              <w:t>Panamax</w:t>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2011</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3" w:type="dxa"/>
            <w:tcBorders/>
          </w:tcPr>
          <w:p>
            <w:pPr>
              <w:pStyle w:val="TableContents"/>
              <w:bidi w:val="0"/>
              <w:spacing w:before="0" w:after="283"/>
              <w:jc w:val="right"/>
              <w:rPr/>
            </w:pPr>
            <w:r>
              <w:rPr/>
              <w:t>79,642</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100.0% average BPI 4TC</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Nov-23</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Rainbow N</w:t>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center"/>
              <w:rPr/>
            </w:pPr>
            <w:r>
              <w:rPr/>
              <w:t>Panamax</w:t>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center"/>
              <w:rPr/>
            </w:pPr>
            <w:r>
              <w:rPr/>
              <w:t>2011</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3" w:type="dxa"/>
            <w:tcBorders/>
            <w:shd w:fill="CCEEFF" w:val="clear"/>
          </w:tcPr>
          <w:p>
            <w:pPr>
              <w:pStyle w:val="TableContents"/>
              <w:bidi w:val="0"/>
              <w:spacing w:before="0" w:after="283"/>
              <w:jc w:val="right"/>
              <w:rPr/>
            </w:pPr>
            <w:r>
              <w:rPr/>
              <w:t>79,642</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100.0% average BPI 4TC</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Aug-23</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0"/>
              <w:jc w:val="left"/>
              <w:rPr>
                <w:rFonts w:ascii="Times New Roman" w:hAnsi="Times New Roman"/>
                <w:sz w:val="20"/>
              </w:rPr>
            </w:pPr>
            <w:r>
              <w:rPr>
                <w:rFonts w:ascii="Times New Roman" w:hAnsi="Times New Roman"/>
                <w:sz w:val="20"/>
              </w:rPr>
              <w:t>Navios Avior</w:t>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center"/>
              <w:rPr/>
            </w:pPr>
            <w:r>
              <w:rPr/>
              <w:t>Panamax</w:t>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2012</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3" w:type="dxa"/>
            <w:tcBorders/>
          </w:tcPr>
          <w:p>
            <w:pPr>
              <w:pStyle w:val="TableContents"/>
              <w:bidi w:val="0"/>
              <w:spacing w:before="0" w:after="283"/>
              <w:jc w:val="right"/>
              <w:rPr/>
            </w:pPr>
            <w:r>
              <w:rPr/>
              <w:t>81,355</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679" w:type="dxa"/>
            <w:tcBorders/>
          </w:tcPr>
          <w:p>
            <w:pPr>
              <w:pStyle w:val="TableContents"/>
              <w:bidi w:val="0"/>
              <w:spacing w:before="0" w:after="283"/>
              <w:jc w:val="right"/>
              <w:rPr/>
            </w:pPr>
            <w:r>
              <w:rPr/>
              <w:t>16,469</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No</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Jun-23</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1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100.0% average BPI 82</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Feb-24</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0"/>
              <w:jc w:val="left"/>
              <w:rPr>
                <w:rFonts w:ascii="Times New Roman" w:hAnsi="Times New Roman"/>
                <w:sz w:val="20"/>
              </w:rPr>
            </w:pPr>
            <w:r>
              <w:rPr>
                <w:rFonts w:ascii="Times New Roman" w:hAnsi="Times New Roman"/>
                <w:sz w:val="20"/>
              </w:rPr>
              <w:t>Navios Centaurus</w:t>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center"/>
              <w:rPr/>
            </w:pPr>
            <w:r>
              <w:rPr/>
              <w:t>Panamax</w:t>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2012</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3" w:type="dxa"/>
            <w:tcBorders/>
          </w:tcPr>
          <w:p>
            <w:pPr>
              <w:pStyle w:val="TableContents"/>
              <w:bidi w:val="0"/>
              <w:spacing w:before="0" w:after="283"/>
              <w:jc w:val="right"/>
              <w:rPr/>
            </w:pPr>
            <w:r>
              <w:rPr/>
              <w:t>81,472</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679" w:type="dxa"/>
            <w:tcBorders/>
          </w:tcPr>
          <w:p>
            <w:pPr>
              <w:pStyle w:val="TableContents"/>
              <w:bidi w:val="0"/>
              <w:spacing w:before="0" w:after="283"/>
              <w:jc w:val="right"/>
              <w:rPr/>
            </w:pPr>
            <w:r>
              <w:rPr/>
              <w:t>17,977</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No</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Jun-23</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1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101.0% average BPI 82</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Aug-23</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0"/>
              <w:jc w:val="left"/>
              <w:rPr>
                <w:rFonts w:ascii="Times New Roman" w:hAnsi="Times New Roman"/>
                <w:sz w:val="20"/>
              </w:rPr>
            </w:pPr>
            <w:r>
              <w:rPr>
                <w:rFonts w:ascii="Times New Roman" w:hAnsi="Times New Roman"/>
                <w:sz w:val="20"/>
              </w:rPr>
              <w:t>Navios Victory</w:t>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center"/>
              <w:rPr/>
            </w:pPr>
            <w:r>
              <w:rPr/>
              <w:t>Panamax</w:t>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2014</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3" w:type="dxa"/>
            <w:tcBorders/>
          </w:tcPr>
          <w:p>
            <w:pPr>
              <w:pStyle w:val="TableContents"/>
              <w:bidi w:val="0"/>
              <w:spacing w:before="0" w:after="283"/>
              <w:jc w:val="right"/>
              <w:rPr/>
            </w:pPr>
            <w:r>
              <w:rPr/>
              <w:t>77,095</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106.75% average BPI 4TC</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Oct-23</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Alegria(24)</w:t>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center"/>
              <w:rPr/>
            </w:pPr>
            <w:r>
              <w:rPr/>
              <w:t>Panamax</w:t>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center"/>
              <w:rPr/>
            </w:pPr>
            <w:r>
              <w:rPr/>
              <w:t>2016</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3" w:type="dxa"/>
            <w:tcBorders/>
            <w:shd w:fill="CCEEFF" w:val="clear"/>
          </w:tcPr>
          <w:p>
            <w:pPr>
              <w:pStyle w:val="TableContents"/>
              <w:bidi w:val="0"/>
              <w:spacing w:before="0" w:after="283"/>
              <w:jc w:val="right"/>
              <w:rPr/>
            </w:pPr>
            <w:r>
              <w:rPr/>
              <w:t>84,852</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679" w:type="dxa"/>
            <w:tcBorders/>
            <w:shd w:fill="CCEEFF" w:val="clear"/>
          </w:tcPr>
          <w:p>
            <w:pPr>
              <w:pStyle w:val="TableContents"/>
              <w:bidi w:val="0"/>
              <w:spacing w:before="0" w:after="283"/>
              <w:jc w:val="right"/>
              <w:rPr/>
            </w:pPr>
            <w:r>
              <w:rPr/>
              <w:t>14,197</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No</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Jul-24</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0"/>
              <w:jc w:val="left"/>
              <w:rPr>
                <w:rFonts w:ascii="Times New Roman" w:hAnsi="Times New Roman"/>
                <w:sz w:val="20"/>
              </w:rPr>
            </w:pPr>
            <w:r>
              <w:rPr>
                <w:rFonts w:ascii="Times New Roman" w:hAnsi="Times New Roman"/>
                <w:sz w:val="20"/>
              </w:rPr>
              <w:t>Navios Sphera</w:t>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center"/>
              <w:rPr/>
            </w:pPr>
            <w:r>
              <w:rPr/>
              <w:t>Panamax</w:t>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2016</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3" w:type="dxa"/>
            <w:tcBorders/>
          </w:tcPr>
          <w:p>
            <w:pPr>
              <w:pStyle w:val="TableContents"/>
              <w:bidi w:val="0"/>
              <w:spacing w:before="0" w:after="283"/>
              <w:jc w:val="right"/>
              <w:rPr/>
            </w:pPr>
            <w:r>
              <w:rPr/>
              <w:t>84,872</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679" w:type="dxa"/>
            <w:tcBorders/>
          </w:tcPr>
          <w:p>
            <w:pPr>
              <w:pStyle w:val="TableContents"/>
              <w:bidi w:val="0"/>
              <w:spacing w:before="0" w:after="283"/>
              <w:jc w:val="right"/>
              <w:rPr/>
            </w:pPr>
            <w:r>
              <w:rPr/>
              <w:t>19,268</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No</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Jun-23</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1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108.0% average BPI 82</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Apr-24</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0"/>
              <w:jc w:val="left"/>
              <w:rPr>
                <w:rFonts w:ascii="Times New Roman" w:hAnsi="Times New Roman"/>
                <w:sz w:val="20"/>
              </w:rPr>
            </w:pPr>
            <w:r>
              <w:rPr>
                <w:rFonts w:ascii="Times New Roman" w:hAnsi="Times New Roman"/>
                <w:sz w:val="20"/>
              </w:rPr>
              <w:t>Navios Sky(5)</w:t>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center"/>
              <w:rPr/>
            </w:pPr>
            <w:r>
              <w:rPr/>
              <w:t>Panamax</w:t>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2015</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3" w:type="dxa"/>
            <w:tcBorders/>
          </w:tcPr>
          <w:p>
            <w:pPr>
              <w:pStyle w:val="TableContents"/>
              <w:bidi w:val="0"/>
              <w:spacing w:before="0" w:after="283"/>
              <w:jc w:val="right"/>
              <w:rPr/>
            </w:pPr>
            <w:r>
              <w:rPr/>
              <w:t>82,056</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679" w:type="dxa"/>
            <w:tcBorders/>
          </w:tcPr>
          <w:p>
            <w:pPr>
              <w:pStyle w:val="TableContents"/>
              <w:bidi w:val="0"/>
              <w:spacing w:before="0" w:after="283"/>
              <w:jc w:val="right"/>
              <w:rPr/>
            </w:pPr>
            <w:r>
              <w:rPr/>
              <w:t>19,541</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No</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Jun-23</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1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105.0 % average BPI 82</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Sep-24</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0"/>
              <w:jc w:val="left"/>
              <w:rPr>
                <w:rFonts w:ascii="Times New Roman" w:hAnsi="Times New Roman"/>
                <w:sz w:val="20"/>
              </w:rPr>
            </w:pPr>
            <w:r>
              <w:rPr>
                <w:rFonts w:ascii="Times New Roman" w:hAnsi="Times New Roman"/>
                <w:sz w:val="20"/>
              </w:rPr>
              <w:t>Navios Uranus(6)</w:t>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center"/>
              <w:rPr/>
            </w:pPr>
            <w:r>
              <w:rPr/>
              <w:t>Panamax</w:t>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2019</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3" w:type="dxa"/>
            <w:tcBorders/>
          </w:tcPr>
          <w:p>
            <w:pPr>
              <w:pStyle w:val="TableContents"/>
              <w:bidi w:val="0"/>
              <w:spacing w:before="0" w:after="283"/>
              <w:jc w:val="right"/>
              <w:rPr/>
            </w:pPr>
            <w:r>
              <w:rPr/>
              <w:t>81,821</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679" w:type="dxa"/>
            <w:tcBorders/>
          </w:tcPr>
          <w:p>
            <w:pPr>
              <w:pStyle w:val="TableContents"/>
              <w:bidi w:val="0"/>
              <w:spacing w:before="0" w:after="283"/>
              <w:jc w:val="right"/>
              <w:rPr/>
            </w:pPr>
            <w:r>
              <w:rPr/>
              <w:t>15,593</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No</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Dec-23</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Herakles I(6)</w:t>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center"/>
              <w:rPr/>
            </w:pPr>
            <w:r>
              <w:rPr/>
              <w:t>Panamax</w:t>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center"/>
              <w:rPr/>
            </w:pPr>
            <w:r>
              <w:rPr/>
              <w:t>2019</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3" w:type="dxa"/>
            <w:tcBorders/>
            <w:shd w:fill="CCEEFF" w:val="clear"/>
          </w:tcPr>
          <w:p>
            <w:pPr>
              <w:pStyle w:val="TableContents"/>
              <w:bidi w:val="0"/>
              <w:spacing w:before="0" w:after="283"/>
              <w:jc w:val="right"/>
              <w:rPr/>
            </w:pPr>
            <w:r>
              <w:rPr/>
              <w:t>82,036</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jc w:val="left"/>
              <w:rPr/>
            </w:pPr>
            <w:r>
              <w:rPr/>
              <w:t>$</w:t>
            </w:r>
          </w:p>
          <w:p>
            <w:pPr>
              <w:pStyle w:val="TableContents"/>
              <w:bidi w:val="0"/>
              <w:spacing w:before="0" w:after="20"/>
              <w:jc w:val="left"/>
              <w:rPr/>
            </w:pPr>
            <w:r>
              <w:rPr/>
              <w:t> </w:t>
            </w:r>
          </w:p>
        </w:tc>
        <w:tc>
          <w:tcPr>
            <w:tcW w:w="679" w:type="dxa"/>
            <w:tcBorders/>
            <w:shd w:fill="CCEEFF" w:val="clear"/>
          </w:tcPr>
          <w:p>
            <w:pPr>
              <w:pStyle w:val="TableContents"/>
              <w:bidi w:val="0"/>
              <w:jc w:val="right"/>
              <w:rPr/>
            </w:pPr>
            <w:r>
              <w:rPr/>
              <w:t>18,503</w:t>
            </w:r>
          </w:p>
          <w:p>
            <w:pPr>
              <w:pStyle w:val="TableContents"/>
              <w:bidi w:val="0"/>
              <w:spacing w:before="0" w:after="20"/>
              <w:jc w:val="right"/>
              <w:rPr>
                <w:rFonts w:ascii="Times New Roman" w:hAnsi="Times New Roman"/>
                <w:sz w:val="20"/>
              </w:rPr>
            </w:pPr>
            <w:r>
              <w:rPr>
                <w:rFonts w:ascii="Times New Roman" w:hAnsi="Times New Roman"/>
                <w:sz w:val="20"/>
              </w:rPr>
              <w:t>  </w:t>
            </w:r>
          </w:p>
        </w:tc>
        <w:tc>
          <w:tcPr>
            <w:tcW w:w="60" w:type="dxa"/>
            <w:tcBorders/>
            <w:shd w:fill="CCEEFF" w:val="clear"/>
          </w:tcPr>
          <w:p>
            <w:pPr>
              <w:pStyle w:val="TableContents"/>
              <w:bidi w:val="0"/>
              <w:jc w:val="left"/>
              <w:rPr/>
            </w:pPr>
            <w:r>
              <w:rPr/>
              <w:t> </w:t>
            </w:r>
          </w:p>
          <w:p>
            <w:pPr>
              <w:pStyle w:val="TableContents"/>
              <w:bidi w:val="0"/>
              <w:spacing w:before="0" w:after="20"/>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20"/>
              <w:jc w:val="center"/>
              <w:rPr>
                <w:rFonts w:ascii="Times New Roman" w:hAnsi="Times New Roman"/>
                <w:sz w:val="20"/>
              </w:rPr>
            </w:pPr>
            <w:r>
              <w:rPr>
                <w:rFonts w:ascii="Times New Roman" w:hAnsi="Times New Roman"/>
                <w:sz w:val="20"/>
              </w:rPr>
              <w:t>115.0% average BPI 82</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jc w:val="right"/>
              <w:rPr/>
            </w:pPr>
            <w:r>
              <w:rPr/>
              <w:t>Jun-23</w:t>
            </w:r>
          </w:p>
          <w:p>
            <w:pPr>
              <w:pStyle w:val="TableContents"/>
              <w:bidi w:val="0"/>
              <w:spacing w:before="0" w:after="20"/>
              <w:jc w:val="right"/>
              <w:rPr>
                <w:rFonts w:ascii="Times New Roman" w:hAnsi="Times New Roman"/>
                <w:sz w:val="20"/>
              </w:rPr>
            </w:pPr>
            <w:r>
              <w:rPr>
                <w:rFonts w:ascii="Times New Roman" w:hAnsi="Times New Roman"/>
                <w:sz w:val="20"/>
              </w:rPr>
              <w:t>Aug-23</w:t>
            </w:r>
          </w:p>
        </w:tc>
        <w:tc>
          <w:tcPr>
            <w:tcW w:w="70" w:type="dxa"/>
            <w:tcBorders/>
            <w:shd w:fill="CCEEFF" w:val="clear"/>
          </w:tcPr>
          <w:p>
            <w:pPr>
              <w:pStyle w:val="TableContents"/>
              <w:bidi w:val="0"/>
              <w:jc w:val="left"/>
              <w:rPr/>
            </w:pPr>
            <w:r>
              <w:rPr/>
              <w:t> </w:t>
            </w:r>
          </w:p>
          <w:p>
            <w:pPr>
              <w:pStyle w:val="TableContents"/>
              <w:bidi w:val="0"/>
              <w:spacing w:before="0" w:after="20"/>
              <w:jc w:val="left"/>
              <w:rPr/>
            </w:pPr>
            <w:r>
              <w:rPr/>
              <w:t> </w:t>
            </w:r>
          </w:p>
        </w:tc>
      </w:tr>
      <w:tr>
        <w:trPr/>
        <w:tc>
          <w:tcPr>
            <w:tcW w:w="2524" w:type="dxa"/>
            <w:tcBorders/>
          </w:tcPr>
          <w:p>
            <w:pPr>
              <w:pStyle w:val="TableContents"/>
              <w:bidi w:val="0"/>
              <w:spacing w:before="0" w:after="0"/>
              <w:jc w:val="left"/>
              <w:rPr>
                <w:rFonts w:ascii="Times New Roman" w:hAnsi="Times New Roman"/>
                <w:sz w:val="20"/>
              </w:rPr>
            </w:pPr>
            <w:r>
              <w:rPr>
                <w:rFonts w:ascii="Times New Roman" w:hAnsi="Times New Roman"/>
                <w:sz w:val="20"/>
              </w:rPr>
              <w:t>Navios Galaxy II(6)</w:t>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center"/>
              <w:rPr/>
            </w:pPr>
            <w:r>
              <w:rPr/>
              <w:t>Panamax</w:t>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2020</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3" w:type="dxa"/>
            <w:tcBorders/>
          </w:tcPr>
          <w:p>
            <w:pPr>
              <w:pStyle w:val="TableContents"/>
              <w:bidi w:val="0"/>
              <w:spacing w:before="0" w:after="283"/>
              <w:jc w:val="right"/>
              <w:rPr/>
            </w:pPr>
            <w:r>
              <w:rPr/>
              <w:t>81,789</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679" w:type="dxa"/>
            <w:tcBorders/>
          </w:tcPr>
          <w:p>
            <w:pPr>
              <w:pStyle w:val="TableContents"/>
              <w:bidi w:val="0"/>
              <w:spacing w:before="0" w:after="283"/>
              <w:jc w:val="right"/>
              <w:rPr/>
            </w:pPr>
            <w:r>
              <w:rPr/>
              <w:t>18,635</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No</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Jun-23</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1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112.5% average BPI 82</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Dec-24</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0"/>
              <w:jc w:val="left"/>
              <w:rPr>
                <w:rFonts w:ascii="Times New Roman" w:hAnsi="Times New Roman"/>
                <w:sz w:val="20"/>
              </w:rPr>
            </w:pPr>
            <w:r>
              <w:rPr>
                <w:rFonts w:ascii="Times New Roman" w:hAnsi="Times New Roman"/>
                <w:sz w:val="20"/>
              </w:rPr>
              <w:t>Navios Felicity I(6)</w:t>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center"/>
              <w:rPr/>
            </w:pPr>
            <w:r>
              <w:rPr/>
              <w:t>Panamax</w:t>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2020</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3" w:type="dxa"/>
            <w:tcBorders/>
          </w:tcPr>
          <w:p>
            <w:pPr>
              <w:pStyle w:val="TableContents"/>
              <w:bidi w:val="0"/>
              <w:spacing w:before="0" w:after="283"/>
              <w:jc w:val="right"/>
              <w:rPr/>
            </w:pPr>
            <w:r>
              <w:rPr/>
              <w:t>81,962</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679" w:type="dxa"/>
            <w:tcBorders/>
          </w:tcPr>
          <w:p>
            <w:pPr>
              <w:pStyle w:val="TableContents"/>
              <w:bidi w:val="0"/>
              <w:spacing w:before="0" w:after="283"/>
              <w:jc w:val="right"/>
              <w:rPr/>
            </w:pPr>
            <w:r>
              <w:rPr/>
              <w:t>14,919</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No</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Dec-23</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Magellan II(6)</w:t>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center"/>
              <w:rPr/>
            </w:pPr>
            <w:r>
              <w:rPr/>
              <w:t>Panamax</w:t>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center"/>
              <w:rPr/>
            </w:pPr>
            <w:r>
              <w:rPr/>
              <w:t>2020</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3" w:type="dxa"/>
            <w:tcBorders/>
            <w:shd w:fill="CCEEFF" w:val="clear"/>
          </w:tcPr>
          <w:p>
            <w:pPr>
              <w:pStyle w:val="TableContents"/>
              <w:bidi w:val="0"/>
              <w:spacing w:before="0" w:after="283"/>
              <w:jc w:val="right"/>
              <w:rPr/>
            </w:pPr>
            <w:r>
              <w:rPr/>
              <w:t>82,037</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679" w:type="dxa"/>
            <w:tcBorders/>
            <w:shd w:fill="CCEEFF" w:val="clear"/>
          </w:tcPr>
          <w:p>
            <w:pPr>
              <w:pStyle w:val="TableContents"/>
              <w:bidi w:val="0"/>
              <w:spacing w:before="0" w:after="283"/>
              <w:jc w:val="right"/>
              <w:rPr/>
            </w:pPr>
            <w:r>
              <w:rPr/>
              <w:t>19,335</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No</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Jun-23</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1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112.0% average BPI 82</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Feb-24</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Primavera(5)</w:t>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center"/>
              <w:rPr/>
            </w:pPr>
            <w:r>
              <w:rPr/>
              <w:t>Panamax</w:t>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center"/>
              <w:rPr/>
            </w:pPr>
            <w:r>
              <w:rPr/>
              <w:t>2022</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3" w:type="dxa"/>
            <w:tcBorders/>
            <w:shd w:fill="CCEEFF" w:val="clear"/>
          </w:tcPr>
          <w:p>
            <w:pPr>
              <w:pStyle w:val="TableContents"/>
              <w:bidi w:val="0"/>
              <w:spacing w:before="0" w:after="283"/>
              <w:jc w:val="right"/>
              <w:rPr/>
            </w:pPr>
            <w:r>
              <w:rPr/>
              <w:t>82,003</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679" w:type="dxa"/>
            <w:tcBorders/>
            <w:shd w:fill="CCEEFF" w:val="clear"/>
          </w:tcPr>
          <w:p>
            <w:pPr>
              <w:pStyle w:val="TableContents"/>
              <w:bidi w:val="0"/>
              <w:spacing w:before="0" w:after="283"/>
              <w:jc w:val="right"/>
              <w:rPr/>
            </w:pPr>
            <w:r>
              <w:rPr/>
              <w:t>18,473</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No</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Jun-23</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1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112.0% average BPI 82</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Jul-23</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Meridian(5)</w:t>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center"/>
              <w:rPr/>
            </w:pPr>
            <w:r>
              <w:rPr/>
              <w:t>Panamax</w:t>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center"/>
              <w:rPr/>
            </w:pPr>
            <w:r>
              <w:rPr/>
              <w:t>2023</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3" w:type="dxa"/>
            <w:tcBorders/>
            <w:shd w:fill="CCEEFF" w:val="clear"/>
          </w:tcPr>
          <w:p>
            <w:pPr>
              <w:pStyle w:val="TableContents"/>
              <w:bidi w:val="0"/>
              <w:spacing w:before="0" w:after="283"/>
              <w:jc w:val="right"/>
              <w:rPr/>
            </w:pPr>
            <w:r>
              <w:rPr/>
              <w:t>82,010</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679" w:type="dxa"/>
            <w:tcBorders/>
            <w:shd w:fill="CCEEFF" w:val="clear"/>
          </w:tcPr>
          <w:p>
            <w:pPr>
              <w:pStyle w:val="TableContents"/>
              <w:bidi w:val="0"/>
              <w:spacing w:before="0" w:after="283"/>
              <w:jc w:val="right"/>
              <w:rPr/>
            </w:pPr>
            <w:r>
              <w:rPr/>
              <w:t>19,132</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No</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Jun-23</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1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115.5% average BPI 82</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Jan-24</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Beaufiks(5)</w:t>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center"/>
              <w:rPr/>
            </w:pPr>
            <w:r>
              <w:rPr/>
              <w:t>Capesize</w:t>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center"/>
              <w:rPr/>
            </w:pPr>
            <w:r>
              <w:rPr/>
              <w:t>2004</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3" w:type="dxa"/>
            <w:tcBorders/>
            <w:shd w:fill="CCEEFF" w:val="clear"/>
          </w:tcPr>
          <w:p>
            <w:pPr>
              <w:pStyle w:val="TableContents"/>
              <w:bidi w:val="0"/>
              <w:spacing w:before="0" w:after="283"/>
              <w:jc w:val="right"/>
              <w:rPr/>
            </w:pPr>
            <w:r>
              <w:rPr/>
              <w:t>180,310</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679" w:type="dxa"/>
            <w:tcBorders/>
            <w:shd w:fill="CCEEFF" w:val="clear"/>
          </w:tcPr>
          <w:p>
            <w:pPr>
              <w:pStyle w:val="TableContents"/>
              <w:bidi w:val="0"/>
              <w:spacing w:before="0" w:after="283"/>
              <w:jc w:val="right"/>
              <w:rPr/>
            </w:pPr>
            <w:r>
              <w:rPr/>
              <w:t>22,563</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No</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Sep-23</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0"/>
              <w:jc w:val="left"/>
              <w:rPr>
                <w:rFonts w:ascii="Times New Roman" w:hAnsi="Times New Roman"/>
                <w:sz w:val="20"/>
              </w:rPr>
            </w:pPr>
            <w:r>
              <w:rPr>
                <w:rFonts w:ascii="Times New Roman" w:hAnsi="Times New Roman"/>
                <w:sz w:val="20"/>
              </w:rPr>
              <w:t>Navios Fantastiks(5)</w:t>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center"/>
              <w:rPr/>
            </w:pPr>
            <w:r>
              <w:rPr/>
              <w:t>Capesize</w:t>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2005</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3" w:type="dxa"/>
            <w:tcBorders/>
          </w:tcPr>
          <w:p>
            <w:pPr>
              <w:pStyle w:val="TableContents"/>
              <w:bidi w:val="0"/>
              <w:spacing w:before="0" w:after="283"/>
              <w:jc w:val="right"/>
              <w:rPr/>
            </w:pPr>
            <w:r>
              <w:rPr/>
              <w:t>180,265</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679" w:type="dxa"/>
            <w:tcBorders/>
          </w:tcPr>
          <w:p>
            <w:pPr>
              <w:pStyle w:val="TableContents"/>
              <w:bidi w:val="0"/>
              <w:spacing w:before="0" w:after="283"/>
              <w:jc w:val="right"/>
              <w:rPr/>
            </w:pPr>
            <w:r>
              <w:rPr/>
              <w:t>18,911</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No</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Dec-23</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Stellar(5)</w:t>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center"/>
              <w:rPr/>
            </w:pPr>
            <w:r>
              <w:rPr/>
              <w:t>Capesize</w:t>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center"/>
              <w:rPr/>
            </w:pPr>
            <w:r>
              <w:rPr/>
              <w:t>2009</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3" w:type="dxa"/>
            <w:tcBorders/>
            <w:shd w:fill="CCEEFF" w:val="clear"/>
          </w:tcPr>
          <w:p>
            <w:pPr>
              <w:pStyle w:val="TableContents"/>
              <w:bidi w:val="0"/>
              <w:spacing w:before="0" w:after="283"/>
              <w:jc w:val="right"/>
              <w:rPr/>
            </w:pPr>
            <w:r>
              <w:rPr/>
              <w:t>169,001</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99.0% average BCI 5TC</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Apr-24</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0"/>
              <w:jc w:val="left"/>
              <w:rPr>
                <w:rFonts w:ascii="Times New Roman" w:hAnsi="Times New Roman"/>
                <w:sz w:val="20"/>
              </w:rPr>
            </w:pPr>
            <w:r>
              <w:rPr>
                <w:rFonts w:ascii="Times New Roman" w:hAnsi="Times New Roman"/>
                <w:sz w:val="20"/>
              </w:rPr>
              <w:t>Navios Aurora II</w:t>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center"/>
              <w:rPr/>
            </w:pPr>
            <w:r>
              <w:rPr/>
              <w:t>Capesize</w:t>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2009</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3" w:type="dxa"/>
            <w:tcBorders/>
          </w:tcPr>
          <w:p>
            <w:pPr>
              <w:pStyle w:val="TableContents"/>
              <w:bidi w:val="0"/>
              <w:spacing w:before="0" w:after="283"/>
              <w:jc w:val="right"/>
              <w:rPr/>
            </w:pPr>
            <w:r>
              <w:rPr/>
              <w:t>169,031</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99.0% average BCI 5TC</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May-23</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Happiness</w:t>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center"/>
              <w:rPr/>
            </w:pPr>
            <w:r>
              <w:rPr/>
              <w:t>Capesize</w:t>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center"/>
              <w:rPr/>
            </w:pPr>
            <w:r>
              <w:rPr/>
              <w:t>2009</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3" w:type="dxa"/>
            <w:tcBorders/>
            <w:shd w:fill="CCEEFF" w:val="clear"/>
          </w:tcPr>
          <w:p>
            <w:pPr>
              <w:pStyle w:val="TableContents"/>
              <w:bidi w:val="0"/>
              <w:spacing w:before="0" w:after="283"/>
              <w:jc w:val="right"/>
              <w:rPr/>
            </w:pPr>
            <w:r>
              <w:rPr/>
              <w:t>180,022</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679" w:type="dxa"/>
            <w:tcBorders/>
            <w:shd w:fill="CCEEFF" w:val="clear"/>
          </w:tcPr>
          <w:p>
            <w:pPr>
              <w:pStyle w:val="TableContents"/>
              <w:bidi w:val="0"/>
              <w:spacing w:before="0" w:after="283"/>
              <w:jc w:val="right"/>
              <w:rPr/>
            </w:pPr>
            <w:r>
              <w:rPr/>
              <w:t>20,710</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No</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Dec-23</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0"/>
              <w:jc w:val="left"/>
              <w:rPr>
                <w:rFonts w:ascii="Times New Roman" w:hAnsi="Times New Roman"/>
                <w:sz w:val="20"/>
              </w:rPr>
            </w:pPr>
            <w:r>
              <w:rPr>
                <w:rFonts w:ascii="Times New Roman" w:hAnsi="Times New Roman"/>
                <w:sz w:val="20"/>
              </w:rPr>
              <w:t>Navios Bonavis(5)</w:t>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center"/>
              <w:rPr/>
            </w:pPr>
            <w:r>
              <w:rPr/>
              <w:t>Capesize</w:t>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2009</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3" w:type="dxa"/>
            <w:tcBorders/>
          </w:tcPr>
          <w:p>
            <w:pPr>
              <w:pStyle w:val="TableContents"/>
              <w:bidi w:val="0"/>
              <w:spacing w:before="0" w:after="283"/>
              <w:jc w:val="right"/>
              <w:rPr/>
            </w:pPr>
            <w:r>
              <w:rPr/>
              <w:t>180,022</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679" w:type="dxa"/>
            <w:tcBorders/>
          </w:tcPr>
          <w:p>
            <w:pPr>
              <w:pStyle w:val="TableContents"/>
              <w:bidi w:val="0"/>
              <w:spacing w:before="0" w:after="283"/>
              <w:jc w:val="right"/>
              <w:rPr/>
            </w:pPr>
            <w:r>
              <w:rPr/>
              <w:t>20,791</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No</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Jun-23</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1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107.0% average BCI 5TC</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Apr-24</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0"/>
              <w:jc w:val="left"/>
              <w:rPr>
                <w:rFonts w:ascii="Times New Roman" w:hAnsi="Times New Roman"/>
                <w:sz w:val="20"/>
              </w:rPr>
            </w:pPr>
            <w:r>
              <w:rPr>
                <w:rFonts w:ascii="Times New Roman" w:hAnsi="Times New Roman"/>
                <w:sz w:val="20"/>
              </w:rPr>
              <w:t>Navios Phoenix(5)</w:t>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center"/>
              <w:rPr/>
            </w:pPr>
            <w:r>
              <w:rPr/>
              <w:t>Capesize</w:t>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2009</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3" w:type="dxa"/>
            <w:tcBorders/>
          </w:tcPr>
          <w:p>
            <w:pPr>
              <w:pStyle w:val="TableContents"/>
              <w:bidi w:val="0"/>
              <w:spacing w:before="0" w:after="283"/>
              <w:jc w:val="right"/>
              <w:rPr/>
            </w:pPr>
            <w:r>
              <w:rPr/>
              <w:t>180,242</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679" w:type="dxa"/>
            <w:tcBorders/>
          </w:tcPr>
          <w:p>
            <w:pPr>
              <w:pStyle w:val="TableContents"/>
              <w:bidi w:val="0"/>
              <w:spacing w:before="0" w:after="283"/>
              <w:jc w:val="right"/>
              <w:rPr/>
            </w:pPr>
            <w:r>
              <w:rPr/>
              <w:t>19,288</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No</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Jun-23</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1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100.0% average BCI 5TC + $1,905 per day</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Jan-24</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0"/>
              <w:jc w:val="left"/>
              <w:rPr>
                <w:rFonts w:ascii="Times New Roman" w:hAnsi="Times New Roman"/>
                <w:sz w:val="20"/>
              </w:rPr>
            </w:pPr>
            <w:r>
              <w:rPr>
                <w:rFonts w:ascii="Times New Roman" w:hAnsi="Times New Roman"/>
                <w:sz w:val="20"/>
              </w:rPr>
              <w:t>Navios Sol(5)</w:t>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center"/>
              <w:rPr/>
            </w:pPr>
            <w:r>
              <w:rPr/>
              <w:t>Capesize</w:t>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2009</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3" w:type="dxa"/>
            <w:tcBorders/>
          </w:tcPr>
          <w:p>
            <w:pPr>
              <w:pStyle w:val="TableContents"/>
              <w:bidi w:val="0"/>
              <w:spacing w:before="0" w:after="283"/>
              <w:jc w:val="right"/>
              <w:rPr/>
            </w:pPr>
            <w:r>
              <w:rPr/>
              <w:t>180,274</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679" w:type="dxa"/>
            <w:tcBorders/>
          </w:tcPr>
          <w:p>
            <w:pPr>
              <w:pStyle w:val="TableContents"/>
              <w:bidi w:val="0"/>
              <w:spacing w:before="0" w:after="283"/>
              <w:jc w:val="right"/>
              <w:rPr/>
            </w:pPr>
            <w:r>
              <w:rPr/>
              <w:t>20,378</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No</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Dec-23</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1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110.0% average BCI 5TC</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Apr-24</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0"/>
              <w:jc w:val="left"/>
              <w:rPr>
                <w:rFonts w:ascii="Times New Roman" w:hAnsi="Times New Roman"/>
                <w:sz w:val="20"/>
              </w:rPr>
            </w:pPr>
            <w:r>
              <w:rPr>
                <w:rFonts w:ascii="Times New Roman" w:hAnsi="Times New Roman"/>
                <w:sz w:val="20"/>
              </w:rPr>
              <w:t>Navios Lumen(5)</w:t>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center"/>
              <w:rPr/>
            </w:pPr>
            <w:r>
              <w:rPr/>
              <w:t>Capesize</w:t>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2009</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3" w:type="dxa"/>
            <w:tcBorders/>
          </w:tcPr>
          <w:p>
            <w:pPr>
              <w:pStyle w:val="TableContents"/>
              <w:bidi w:val="0"/>
              <w:spacing w:before="0" w:after="283"/>
              <w:jc w:val="right"/>
              <w:rPr/>
            </w:pPr>
            <w:r>
              <w:rPr/>
              <w:t>180,661</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107.0% average BCI 5TC</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Apr-24</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Pollux(5)</w:t>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center"/>
              <w:rPr/>
            </w:pPr>
            <w:r>
              <w:rPr/>
              <w:t>Capesize</w:t>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center"/>
              <w:rPr/>
            </w:pPr>
            <w:r>
              <w:rPr/>
              <w:t>2009</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3" w:type="dxa"/>
            <w:tcBorders/>
            <w:shd w:fill="CCEEFF" w:val="clear"/>
          </w:tcPr>
          <w:p>
            <w:pPr>
              <w:pStyle w:val="TableContents"/>
              <w:bidi w:val="0"/>
              <w:spacing w:before="0" w:after="283"/>
              <w:jc w:val="right"/>
              <w:rPr/>
            </w:pPr>
            <w:r>
              <w:rPr/>
              <w:t>180,727</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100.0% of pool earnings</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Jul-23</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0"/>
              <w:jc w:val="left"/>
              <w:rPr>
                <w:rFonts w:ascii="Times New Roman" w:hAnsi="Times New Roman"/>
                <w:sz w:val="20"/>
              </w:rPr>
            </w:pPr>
            <w:r>
              <w:rPr>
                <w:rFonts w:ascii="Times New Roman" w:hAnsi="Times New Roman"/>
                <w:sz w:val="20"/>
              </w:rPr>
              <w:t>Navios Antares(5)</w:t>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center"/>
              <w:rPr/>
            </w:pPr>
            <w:r>
              <w:rPr/>
              <w:t>Capesize</w:t>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2010</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3" w:type="dxa"/>
            <w:tcBorders/>
          </w:tcPr>
          <w:p>
            <w:pPr>
              <w:pStyle w:val="TableContents"/>
              <w:bidi w:val="0"/>
              <w:spacing w:before="0" w:after="283"/>
              <w:jc w:val="right"/>
              <w:rPr/>
            </w:pPr>
            <w:r>
              <w:rPr/>
              <w:t>169,059</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100.0% average BCI 5TC</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Jan-24</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Symphony</w:t>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center"/>
              <w:rPr/>
            </w:pPr>
            <w:r>
              <w:rPr/>
              <w:t>Capesize</w:t>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center"/>
              <w:rPr/>
            </w:pPr>
            <w:r>
              <w:rPr/>
              <w:t>2010</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3" w:type="dxa"/>
            <w:tcBorders/>
            <w:shd w:fill="CCEEFF" w:val="clear"/>
          </w:tcPr>
          <w:p>
            <w:pPr>
              <w:pStyle w:val="TableContents"/>
              <w:bidi w:val="0"/>
              <w:spacing w:before="0" w:after="283"/>
              <w:jc w:val="right"/>
              <w:rPr/>
            </w:pPr>
            <w:r>
              <w:rPr/>
              <w:t>178,132</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104.5% average BCI 5TC</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Jan-24</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0"/>
              <w:jc w:val="left"/>
              <w:rPr>
                <w:rFonts w:ascii="Times New Roman" w:hAnsi="Times New Roman"/>
                <w:sz w:val="20"/>
              </w:rPr>
            </w:pPr>
            <w:r>
              <w:rPr>
                <w:rFonts w:ascii="Times New Roman" w:hAnsi="Times New Roman"/>
                <w:sz w:val="20"/>
              </w:rPr>
              <w:t>Navios Melodia</w:t>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center"/>
              <w:rPr/>
            </w:pPr>
            <w:r>
              <w:rPr/>
              <w:t>Capesize</w:t>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2010</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3" w:type="dxa"/>
            <w:tcBorders/>
          </w:tcPr>
          <w:p>
            <w:pPr>
              <w:pStyle w:val="TableContents"/>
              <w:bidi w:val="0"/>
              <w:spacing w:before="0" w:after="283"/>
              <w:jc w:val="right"/>
              <w:rPr/>
            </w:pPr>
            <w:r>
              <w:rPr/>
              <w:t>179,132</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679" w:type="dxa"/>
            <w:tcBorders/>
          </w:tcPr>
          <w:p>
            <w:pPr>
              <w:pStyle w:val="TableContents"/>
              <w:bidi w:val="0"/>
              <w:spacing w:before="0" w:after="283"/>
              <w:jc w:val="right"/>
              <w:rPr/>
            </w:pPr>
            <w:r>
              <w:rPr/>
              <w:t>18,702</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No</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Jun-23</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1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105.0% average BCI 5TC</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Apr-24</w:t>
            </w:r>
          </w:p>
        </w:tc>
        <w:tc>
          <w:tcPr>
            <w:tcW w:w="70" w:type="dxa"/>
            <w:tcBorders/>
            <w:shd w:fill="CCEEFF" w:val="clear"/>
          </w:tcPr>
          <w:p>
            <w:pPr>
              <w:pStyle w:val="TableContents"/>
              <w:bidi w:val="0"/>
              <w:spacing w:before="0" w:after="283"/>
              <w:jc w:val="left"/>
              <w:rPr/>
            </w:pPr>
            <w:r>
              <w:rPr/>
              <w:t> </w:t>
            </w:r>
          </w:p>
        </w:tc>
      </w:tr>
      <w:tr>
        <w:trPr/>
        <w:tc>
          <w:tcPr>
            <w:tcW w:w="2524" w:type="dxa"/>
            <w:tcBorders/>
          </w:tcPr>
          <w:p>
            <w:pPr>
              <w:pStyle w:val="TableContents"/>
              <w:bidi w:val="0"/>
              <w:spacing w:before="0" w:after="0"/>
              <w:jc w:val="left"/>
              <w:rPr>
                <w:rFonts w:ascii="Times New Roman" w:hAnsi="Times New Roman"/>
                <w:sz w:val="20"/>
              </w:rPr>
            </w:pPr>
            <w:r>
              <w:rPr>
                <w:rFonts w:ascii="Times New Roman" w:hAnsi="Times New Roman"/>
                <w:sz w:val="20"/>
              </w:rPr>
              <w:t>Navios Luz</w:t>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center"/>
              <w:rPr/>
            </w:pPr>
            <w:r>
              <w:rPr/>
              <w:t>Capesize</w:t>
            </w:r>
          </w:p>
        </w:tc>
        <w:tc>
          <w:tcPr>
            <w:tcW w:w="132" w:type="dxa"/>
            <w:tcBorders/>
            <w:vAlign w:val="bottom"/>
          </w:tcPr>
          <w:p>
            <w:pPr>
              <w:pStyle w:val="TableContents"/>
              <w:bidi w:val="0"/>
              <w:spacing w:before="0" w:after="283"/>
              <w:jc w:val="left"/>
              <w:rPr/>
            </w:pPr>
            <w:r>
              <w:rPr/>
              <w:t>  </w:t>
            </w:r>
          </w:p>
        </w:tc>
        <w:tc>
          <w:tcPr>
            <w:tcW w:w="502" w:type="dxa"/>
            <w:tcBorders/>
          </w:tcPr>
          <w:p>
            <w:pPr>
              <w:pStyle w:val="TableContents"/>
              <w:bidi w:val="0"/>
              <w:spacing w:before="0" w:after="283"/>
              <w:jc w:val="center"/>
              <w:rPr/>
            </w:pPr>
            <w:r>
              <w:rPr/>
              <w:t>2010</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3" w:type="dxa"/>
            <w:tcBorders/>
          </w:tcPr>
          <w:p>
            <w:pPr>
              <w:pStyle w:val="TableContents"/>
              <w:bidi w:val="0"/>
              <w:spacing w:before="0" w:after="283"/>
              <w:jc w:val="right"/>
              <w:rPr/>
            </w:pPr>
            <w:r>
              <w:rPr/>
              <w:t>179,144</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911" w:type="dxa"/>
            <w:tcBorders/>
          </w:tcPr>
          <w:p>
            <w:pPr>
              <w:pStyle w:val="TableContents"/>
              <w:bidi w:val="0"/>
              <w:spacing w:before="0" w:after="283"/>
              <w:jc w:val="center"/>
              <w:rPr/>
            </w:pPr>
            <w:r>
              <w:rPr/>
              <w:t>102.0% average BCI 5TC</w:t>
            </w:r>
          </w:p>
        </w:tc>
        <w:tc>
          <w:tcPr>
            <w:tcW w:w="13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11" w:type="dxa"/>
            <w:tcBorders/>
          </w:tcPr>
          <w:p>
            <w:pPr>
              <w:pStyle w:val="TableContents"/>
              <w:bidi w:val="0"/>
              <w:spacing w:before="0" w:after="283"/>
              <w:jc w:val="right"/>
              <w:rPr/>
            </w:pPr>
            <w:r>
              <w:rPr/>
              <w:t>Jul-23</w:t>
            </w:r>
          </w:p>
        </w:tc>
        <w:tc>
          <w:tcPr>
            <w:tcW w:w="70" w:type="dxa"/>
            <w:tcBorders/>
          </w:tcPr>
          <w:p>
            <w:pPr>
              <w:pStyle w:val="TableContents"/>
              <w:bidi w:val="0"/>
              <w:spacing w:before="0" w:after="283"/>
              <w:jc w:val="left"/>
              <w:rPr/>
            </w:pPr>
            <w:r>
              <w:rPr/>
              <w:t> </w:t>
            </w:r>
          </w:p>
        </w:tc>
      </w:tr>
      <w:tr>
        <w:trPr/>
        <w:tc>
          <w:tcPr>
            <w:tcW w:w="2524"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923"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502"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1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911" w:type="dxa"/>
            <w:tcBorders/>
            <w:shd w:fill="CCEEFF" w:val="clear"/>
          </w:tcPr>
          <w:p>
            <w:pPr>
              <w:pStyle w:val="TableContents"/>
              <w:bidi w:val="0"/>
              <w:spacing w:before="0" w:after="283"/>
              <w:jc w:val="center"/>
              <w:rPr/>
            </w:pPr>
            <w:r>
              <w:rPr/>
              <w:t>106.0% average BCI 5TC</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11" w:type="dxa"/>
            <w:tcBorders/>
            <w:shd w:fill="CCEEFF" w:val="clear"/>
          </w:tcPr>
          <w:p>
            <w:pPr>
              <w:pStyle w:val="TableContents"/>
              <w:bidi w:val="0"/>
              <w:spacing w:before="0" w:after="283"/>
              <w:jc w:val="right"/>
              <w:rPr/>
            </w:pPr>
            <w:r>
              <w:rPr/>
              <w:t>May-24</w:t>
            </w:r>
          </w:p>
        </w:tc>
        <w:tc>
          <w:tcPr>
            <w:tcW w:w="70" w:type="dxa"/>
            <w:tcBorders/>
            <w:shd w:fill="CCEEFF" w:val="cle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2904"/>
        <w:gridCol w:w="130"/>
        <w:gridCol w:w="875"/>
        <w:gridCol w:w="130"/>
        <w:gridCol w:w="504"/>
        <w:gridCol w:w="130"/>
        <w:gridCol w:w="60"/>
        <w:gridCol w:w="814"/>
        <w:gridCol w:w="60"/>
        <w:gridCol w:w="130"/>
        <w:gridCol w:w="140"/>
        <w:gridCol w:w="790"/>
        <w:gridCol w:w="60"/>
        <w:gridCol w:w="129"/>
        <w:gridCol w:w="2507"/>
        <w:gridCol w:w="130"/>
        <w:gridCol w:w="60"/>
        <w:gridCol w:w="584"/>
        <w:gridCol w:w="68"/>
      </w:tblGrid>
      <w:tr>
        <w:trPr/>
        <w:tc>
          <w:tcPr>
            <w:tcW w:w="290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Etoile</w:t>
            </w:r>
          </w:p>
        </w:tc>
        <w:tc>
          <w:tcPr>
            <w:tcW w:w="130" w:type="dxa"/>
            <w:tcBorders/>
            <w:shd w:fill="CCEEFF" w:val="clear"/>
            <w:vAlign w:val="bottom"/>
          </w:tcPr>
          <w:p>
            <w:pPr>
              <w:pStyle w:val="TableContents"/>
              <w:bidi w:val="0"/>
              <w:spacing w:before="0" w:after="283"/>
              <w:jc w:val="left"/>
              <w:rPr/>
            </w:pPr>
            <w:r>
              <w:rPr/>
              <w:t>  </w:t>
            </w:r>
          </w:p>
        </w:tc>
        <w:tc>
          <w:tcPr>
            <w:tcW w:w="875" w:type="dxa"/>
            <w:tcBorders/>
            <w:shd w:fill="CCEEFF" w:val="clear"/>
          </w:tcPr>
          <w:p>
            <w:pPr>
              <w:pStyle w:val="TableContents"/>
              <w:bidi w:val="0"/>
              <w:spacing w:before="0" w:after="283"/>
              <w:jc w:val="center"/>
              <w:rPr/>
            </w:pPr>
            <w:r>
              <w:rPr/>
              <w:t>Capesize</w:t>
            </w:r>
          </w:p>
        </w:tc>
        <w:tc>
          <w:tcPr>
            <w:tcW w:w="130" w:type="dxa"/>
            <w:tcBorders/>
            <w:shd w:fill="CCEEFF" w:val="clear"/>
            <w:vAlign w:val="bottom"/>
          </w:tcPr>
          <w:p>
            <w:pPr>
              <w:pStyle w:val="TableContents"/>
              <w:bidi w:val="0"/>
              <w:spacing w:before="0" w:after="283"/>
              <w:jc w:val="left"/>
              <w:rPr/>
            </w:pPr>
            <w:r>
              <w:rPr/>
              <w:t>  </w:t>
            </w:r>
          </w:p>
        </w:tc>
        <w:tc>
          <w:tcPr>
            <w:tcW w:w="504" w:type="dxa"/>
            <w:tcBorders/>
            <w:shd w:fill="CCEEFF" w:val="clear"/>
          </w:tcPr>
          <w:p>
            <w:pPr>
              <w:pStyle w:val="TableContents"/>
              <w:bidi w:val="0"/>
              <w:spacing w:before="0" w:after="283"/>
              <w:jc w:val="center"/>
              <w:rPr/>
            </w:pPr>
            <w:r>
              <w:rPr/>
              <w:t>2010</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4" w:type="dxa"/>
            <w:tcBorders/>
            <w:shd w:fill="CCEEFF" w:val="clear"/>
          </w:tcPr>
          <w:p>
            <w:pPr>
              <w:pStyle w:val="TableContents"/>
              <w:bidi w:val="0"/>
              <w:spacing w:before="0" w:after="283"/>
              <w:jc w:val="right"/>
              <w:rPr/>
            </w:pPr>
            <w:r>
              <w:rPr/>
              <w:t>179,234</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br/>
              <w:t> </w:t>
            </w:r>
          </w:p>
        </w:tc>
        <w:tc>
          <w:tcPr>
            <w:tcW w:w="790" w:type="dxa"/>
            <w:tcBorders/>
            <w:shd w:fill="CCEEFF" w:val="clear"/>
          </w:tcPr>
          <w:p>
            <w:pPr>
              <w:pStyle w:val="TableContents"/>
              <w:bidi w:val="0"/>
              <w:spacing w:before="0" w:after="283"/>
              <w:jc w:val="right"/>
              <w:rPr/>
            </w:pPr>
            <w:r>
              <w:rPr/>
              <w:t>20,948</w:t>
              <w:br/>
              <w:t>  </w:t>
            </w:r>
          </w:p>
        </w:tc>
        <w:tc>
          <w:tcPr>
            <w:tcW w:w="60" w:type="dxa"/>
            <w:tcBorders/>
            <w:shd w:fill="CCEEFF" w:val="clear"/>
          </w:tcPr>
          <w:p>
            <w:pPr>
              <w:pStyle w:val="TableContents"/>
              <w:bidi w:val="0"/>
              <w:spacing w:before="0" w:after="283"/>
              <w:jc w:val="left"/>
              <w:rPr/>
            </w:pPr>
            <w:r>
              <w:rPr/>
              <w:t> </w:t>
            </w:r>
            <w:r>
              <w:rPr/>
              <w:br/>
              <w:t> </w:t>
            </w:r>
          </w:p>
        </w:tc>
        <w:tc>
          <w:tcPr>
            <w:tcW w:w="129" w:type="dxa"/>
            <w:tcBorders/>
            <w:shd w:fill="CCEEFF" w:val="clear"/>
            <w:vAlign w:val="bottom"/>
          </w:tcPr>
          <w:p>
            <w:pPr>
              <w:pStyle w:val="TableContents"/>
              <w:bidi w:val="0"/>
              <w:spacing w:before="0" w:after="283"/>
              <w:jc w:val="left"/>
              <w:rPr/>
            </w:pPr>
            <w:r>
              <w:rPr/>
              <w:t>  </w:t>
            </w:r>
          </w:p>
        </w:tc>
        <w:tc>
          <w:tcPr>
            <w:tcW w:w="2507"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20"/>
              <w:jc w:val="center"/>
              <w:rPr>
                <w:rFonts w:ascii="Times New Roman" w:hAnsi="Times New Roman"/>
                <w:sz w:val="20"/>
              </w:rPr>
            </w:pPr>
            <w:r>
              <w:rPr>
                <w:rFonts w:ascii="Times New Roman" w:hAnsi="Times New Roman"/>
                <w:sz w:val="20"/>
              </w:rPr>
              <w:t>105.0% average BCI 5TC</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4" w:type="dxa"/>
            <w:tcBorders/>
            <w:shd w:fill="CCEEFF" w:val="clear"/>
          </w:tcPr>
          <w:p>
            <w:pPr>
              <w:pStyle w:val="TableContents"/>
              <w:bidi w:val="0"/>
              <w:spacing w:before="0" w:after="283"/>
              <w:jc w:val="right"/>
              <w:rPr/>
            </w:pPr>
            <w:r>
              <w:rPr/>
              <w:t>Jun-23</w:t>
              <w:br/>
              <w:t>Feb-24</w:t>
            </w:r>
          </w:p>
        </w:tc>
        <w:tc>
          <w:tcPr>
            <w:tcW w:w="68" w:type="dxa"/>
            <w:tcBorders/>
            <w:shd w:fill="CCEEFF" w:val="clear"/>
          </w:tcPr>
          <w:p>
            <w:pPr>
              <w:pStyle w:val="TableContents"/>
              <w:bidi w:val="0"/>
              <w:spacing w:before="0" w:after="283"/>
              <w:jc w:val="left"/>
              <w:rPr/>
            </w:pPr>
            <w:r>
              <w:rPr/>
              <w:t> </w:t>
            </w:r>
            <w:r>
              <w:rPr/>
              <w:br/>
              <w:t> </w:t>
            </w:r>
          </w:p>
        </w:tc>
      </w:tr>
      <w:tr>
        <w:trPr/>
        <w:tc>
          <w:tcPr>
            <w:tcW w:w="2904" w:type="dxa"/>
            <w:tcBorders/>
          </w:tcPr>
          <w:p>
            <w:pPr>
              <w:pStyle w:val="TableContents"/>
              <w:bidi w:val="0"/>
              <w:spacing w:before="0" w:after="0"/>
              <w:jc w:val="left"/>
              <w:rPr>
                <w:rFonts w:ascii="Times New Roman" w:hAnsi="Times New Roman"/>
                <w:sz w:val="20"/>
              </w:rPr>
            </w:pPr>
            <w:r>
              <w:rPr>
                <w:rFonts w:ascii="Times New Roman" w:hAnsi="Times New Roman"/>
                <w:sz w:val="20"/>
              </w:rPr>
              <w:t>Navios Buena Ventura</w:t>
            </w:r>
          </w:p>
        </w:tc>
        <w:tc>
          <w:tcPr>
            <w:tcW w:w="130"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Capesize</w:t>
            </w:r>
          </w:p>
        </w:tc>
        <w:tc>
          <w:tcPr>
            <w:tcW w:w="130" w:type="dxa"/>
            <w:tcBorders/>
            <w:vAlign w:val="bottom"/>
          </w:tcPr>
          <w:p>
            <w:pPr>
              <w:pStyle w:val="TableContents"/>
              <w:bidi w:val="0"/>
              <w:spacing w:before="0" w:after="283"/>
              <w:jc w:val="left"/>
              <w:rPr/>
            </w:pPr>
            <w:r>
              <w:rPr/>
              <w:t>  </w:t>
            </w:r>
          </w:p>
        </w:tc>
        <w:tc>
          <w:tcPr>
            <w:tcW w:w="504" w:type="dxa"/>
            <w:tcBorders/>
          </w:tcPr>
          <w:p>
            <w:pPr>
              <w:pStyle w:val="TableContents"/>
              <w:bidi w:val="0"/>
              <w:spacing w:before="0" w:after="283"/>
              <w:jc w:val="center"/>
              <w:rPr/>
            </w:pPr>
            <w:r>
              <w:rPr/>
              <w:t>2010</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4" w:type="dxa"/>
            <w:tcBorders/>
          </w:tcPr>
          <w:p>
            <w:pPr>
              <w:pStyle w:val="TableContents"/>
              <w:bidi w:val="0"/>
              <w:spacing w:before="0" w:after="283"/>
              <w:jc w:val="right"/>
              <w:rPr/>
            </w:pPr>
            <w:r>
              <w:rPr/>
              <w:t>179,259</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br/>
              <w:t> </w:t>
            </w:r>
          </w:p>
        </w:tc>
        <w:tc>
          <w:tcPr>
            <w:tcW w:w="790" w:type="dxa"/>
            <w:tcBorders/>
          </w:tcPr>
          <w:p>
            <w:pPr>
              <w:pStyle w:val="TableContents"/>
              <w:bidi w:val="0"/>
              <w:spacing w:before="0" w:after="283"/>
              <w:jc w:val="right"/>
              <w:rPr/>
            </w:pPr>
            <w:r>
              <w:rPr/>
              <w:t>20,349</w:t>
              <w:br/>
              <w:t>  </w:t>
            </w:r>
          </w:p>
        </w:tc>
        <w:tc>
          <w:tcPr>
            <w:tcW w:w="60" w:type="dxa"/>
            <w:tcBorders/>
          </w:tcPr>
          <w:p>
            <w:pPr>
              <w:pStyle w:val="TableContents"/>
              <w:bidi w:val="0"/>
              <w:spacing w:before="0" w:after="283"/>
              <w:jc w:val="left"/>
              <w:rPr/>
            </w:pPr>
            <w:r>
              <w:rPr/>
              <w:t> </w:t>
            </w:r>
            <w:r>
              <w:rPr/>
              <w:br/>
              <w:t> </w:t>
            </w:r>
          </w:p>
        </w:tc>
        <w:tc>
          <w:tcPr>
            <w:tcW w:w="129" w:type="dxa"/>
            <w:tcBorders/>
            <w:vAlign w:val="bottom"/>
          </w:tcPr>
          <w:p>
            <w:pPr>
              <w:pStyle w:val="TableContents"/>
              <w:bidi w:val="0"/>
              <w:spacing w:before="0" w:after="283"/>
              <w:jc w:val="left"/>
              <w:rPr/>
            </w:pPr>
            <w:r>
              <w:rPr/>
              <w:t>  </w:t>
            </w:r>
          </w:p>
        </w:tc>
        <w:tc>
          <w:tcPr>
            <w:tcW w:w="2507" w:type="dxa"/>
            <w:tcBorders/>
          </w:tcPr>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20"/>
              <w:jc w:val="center"/>
              <w:rPr>
                <w:rFonts w:ascii="Times New Roman" w:hAnsi="Times New Roman"/>
                <w:sz w:val="20"/>
              </w:rPr>
            </w:pPr>
            <w:r>
              <w:rPr>
                <w:rFonts w:ascii="Times New Roman" w:hAnsi="Times New Roman"/>
                <w:sz w:val="20"/>
              </w:rPr>
              <w:t>105.0% average BCI 5TC</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4" w:type="dxa"/>
            <w:tcBorders/>
          </w:tcPr>
          <w:p>
            <w:pPr>
              <w:pStyle w:val="TableContents"/>
              <w:bidi w:val="0"/>
              <w:spacing w:before="0" w:after="283"/>
              <w:jc w:val="right"/>
              <w:rPr/>
            </w:pPr>
            <w:r>
              <w:rPr/>
              <w:t>Jun-23</w:t>
              <w:br/>
              <w:t>Feb-24</w:t>
            </w:r>
          </w:p>
        </w:tc>
        <w:tc>
          <w:tcPr>
            <w:tcW w:w="68" w:type="dxa"/>
            <w:tcBorders/>
          </w:tcPr>
          <w:p>
            <w:pPr>
              <w:pStyle w:val="TableContents"/>
              <w:bidi w:val="0"/>
              <w:spacing w:before="0" w:after="283"/>
              <w:jc w:val="left"/>
              <w:rPr/>
            </w:pPr>
            <w:r>
              <w:rPr/>
              <w:t> </w:t>
            </w:r>
            <w:r>
              <w:rPr/>
              <w:br/>
              <w:t> </w:t>
            </w:r>
          </w:p>
        </w:tc>
      </w:tr>
      <w:tr>
        <w:trPr/>
        <w:tc>
          <w:tcPr>
            <w:tcW w:w="2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Bonheur</w:t>
            </w:r>
          </w:p>
        </w:tc>
        <w:tc>
          <w:tcPr>
            <w:tcW w:w="130" w:type="dxa"/>
            <w:tcBorders/>
            <w:shd w:fill="CCEEFF" w:val="clear"/>
            <w:vAlign w:val="bottom"/>
          </w:tcPr>
          <w:p>
            <w:pPr>
              <w:pStyle w:val="TableContents"/>
              <w:bidi w:val="0"/>
              <w:spacing w:before="0" w:after="283"/>
              <w:jc w:val="left"/>
              <w:rPr/>
            </w:pPr>
            <w:r>
              <w:rPr/>
              <w:t>  </w:t>
            </w:r>
          </w:p>
        </w:tc>
        <w:tc>
          <w:tcPr>
            <w:tcW w:w="875" w:type="dxa"/>
            <w:tcBorders/>
            <w:shd w:fill="CCEEFF" w:val="clear"/>
          </w:tcPr>
          <w:p>
            <w:pPr>
              <w:pStyle w:val="TableContents"/>
              <w:bidi w:val="0"/>
              <w:spacing w:before="0" w:after="283"/>
              <w:jc w:val="center"/>
              <w:rPr/>
            </w:pPr>
            <w:r>
              <w:rPr/>
              <w:t>Capesize</w:t>
            </w:r>
          </w:p>
        </w:tc>
        <w:tc>
          <w:tcPr>
            <w:tcW w:w="130" w:type="dxa"/>
            <w:tcBorders/>
            <w:shd w:fill="CCEEFF" w:val="clear"/>
            <w:vAlign w:val="bottom"/>
          </w:tcPr>
          <w:p>
            <w:pPr>
              <w:pStyle w:val="TableContents"/>
              <w:bidi w:val="0"/>
              <w:spacing w:before="0" w:after="283"/>
              <w:jc w:val="left"/>
              <w:rPr/>
            </w:pPr>
            <w:r>
              <w:rPr/>
              <w:t>  </w:t>
            </w:r>
          </w:p>
        </w:tc>
        <w:tc>
          <w:tcPr>
            <w:tcW w:w="504" w:type="dxa"/>
            <w:tcBorders/>
            <w:shd w:fill="CCEEFF" w:val="clear"/>
          </w:tcPr>
          <w:p>
            <w:pPr>
              <w:pStyle w:val="TableContents"/>
              <w:bidi w:val="0"/>
              <w:spacing w:before="0" w:after="283"/>
              <w:jc w:val="center"/>
              <w:rPr/>
            </w:pPr>
            <w:r>
              <w:rPr/>
              <w:t>2010</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4" w:type="dxa"/>
            <w:tcBorders/>
            <w:shd w:fill="CCEEFF" w:val="clear"/>
          </w:tcPr>
          <w:p>
            <w:pPr>
              <w:pStyle w:val="TableContents"/>
              <w:bidi w:val="0"/>
              <w:spacing w:before="0" w:after="283"/>
              <w:jc w:val="right"/>
              <w:rPr/>
            </w:pPr>
            <w:r>
              <w:rPr/>
              <w:t>179,259</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790"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507" w:type="dxa"/>
            <w:tcBorders/>
            <w:shd w:fill="CCEEFF" w:val="clear"/>
          </w:tcPr>
          <w:p>
            <w:pPr>
              <w:pStyle w:val="TableContents"/>
              <w:bidi w:val="0"/>
              <w:spacing w:before="0" w:after="283"/>
              <w:jc w:val="center"/>
              <w:rPr/>
            </w:pPr>
            <w:r>
              <w:rPr/>
              <w:t>103.0% average BCI 5TC</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4" w:type="dxa"/>
            <w:tcBorders/>
            <w:shd w:fill="CCEEFF" w:val="clear"/>
          </w:tcPr>
          <w:p>
            <w:pPr>
              <w:pStyle w:val="TableContents"/>
              <w:bidi w:val="0"/>
              <w:spacing w:before="0" w:after="283"/>
              <w:jc w:val="right"/>
              <w:rPr/>
            </w:pPr>
            <w:r>
              <w:rPr/>
              <w:t>Sep-23</w:t>
            </w:r>
          </w:p>
        </w:tc>
        <w:tc>
          <w:tcPr>
            <w:tcW w:w="68" w:type="dxa"/>
            <w:tcBorders/>
            <w:shd w:fill="CCEEFF" w:val="clear"/>
          </w:tcPr>
          <w:p>
            <w:pPr>
              <w:pStyle w:val="TableContents"/>
              <w:bidi w:val="0"/>
              <w:spacing w:before="0" w:after="283"/>
              <w:jc w:val="left"/>
              <w:rPr/>
            </w:pPr>
            <w:r>
              <w:rPr/>
              <w:t> </w:t>
            </w:r>
          </w:p>
        </w:tc>
      </w:tr>
      <w:tr>
        <w:trPr/>
        <w:tc>
          <w:tcPr>
            <w:tcW w:w="2904" w:type="dxa"/>
            <w:tcBorders/>
          </w:tcPr>
          <w:p>
            <w:pPr>
              <w:pStyle w:val="TableContents"/>
              <w:bidi w:val="0"/>
              <w:spacing w:before="0" w:after="0"/>
              <w:jc w:val="left"/>
              <w:rPr>
                <w:rFonts w:ascii="Times New Roman" w:hAnsi="Times New Roman"/>
                <w:sz w:val="20"/>
              </w:rPr>
            </w:pPr>
            <w:r>
              <w:rPr>
                <w:rFonts w:ascii="Times New Roman" w:hAnsi="Times New Roman"/>
                <w:sz w:val="20"/>
              </w:rPr>
              <w:t>Navios Fulvia</w:t>
            </w:r>
          </w:p>
        </w:tc>
        <w:tc>
          <w:tcPr>
            <w:tcW w:w="130"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Capesize</w:t>
            </w:r>
          </w:p>
        </w:tc>
        <w:tc>
          <w:tcPr>
            <w:tcW w:w="130" w:type="dxa"/>
            <w:tcBorders/>
            <w:vAlign w:val="bottom"/>
          </w:tcPr>
          <w:p>
            <w:pPr>
              <w:pStyle w:val="TableContents"/>
              <w:bidi w:val="0"/>
              <w:spacing w:before="0" w:after="283"/>
              <w:jc w:val="left"/>
              <w:rPr/>
            </w:pPr>
            <w:r>
              <w:rPr/>
              <w:t>  </w:t>
            </w:r>
          </w:p>
        </w:tc>
        <w:tc>
          <w:tcPr>
            <w:tcW w:w="504" w:type="dxa"/>
            <w:tcBorders/>
          </w:tcPr>
          <w:p>
            <w:pPr>
              <w:pStyle w:val="TableContents"/>
              <w:bidi w:val="0"/>
              <w:spacing w:before="0" w:after="283"/>
              <w:jc w:val="center"/>
              <w:rPr/>
            </w:pPr>
            <w:r>
              <w:rPr/>
              <w:t>2010</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4" w:type="dxa"/>
            <w:tcBorders/>
          </w:tcPr>
          <w:p>
            <w:pPr>
              <w:pStyle w:val="TableContents"/>
              <w:bidi w:val="0"/>
              <w:spacing w:before="0" w:after="283"/>
              <w:jc w:val="right"/>
              <w:rPr/>
            </w:pPr>
            <w:r>
              <w:rPr/>
              <w:t>179,263</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br/>
              <w:t> </w:t>
            </w:r>
          </w:p>
        </w:tc>
        <w:tc>
          <w:tcPr>
            <w:tcW w:w="790" w:type="dxa"/>
            <w:tcBorders/>
          </w:tcPr>
          <w:p>
            <w:pPr>
              <w:pStyle w:val="TableContents"/>
              <w:bidi w:val="0"/>
              <w:spacing w:before="0" w:after="283"/>
              <w:jc w:val="right"/>
              <w:rPr/>
            </w:pPr>
            <w:r>
              <w:rPr/>
              <w:t>18,703</w:t>
              <w:br/>
              <w:t>  </w:t>
            </w:r>
          </w:p>
        </w:tc>
        <w:tc>
          <w:tcPr>
            <w:tcW w:w="60" w:type="dxa"/>
            <w:tcBorders/>
          </w:tcPr>
          <w:p>
            <w:pPr>
              <w:pStyle w:val="TableContents"/>
              <w:bidi w:val="0"/>
              <w:spacing w:before="0" w:after="283"/>
              <w:jc w:val="left"/>
              <w:rPr/>
            </w:pPr>
            <w:r>
              <w:rPr/>
              <w:t> </w:t>
            </w:r>
            <w:r>
              <w:rPr/>
              <w:br/>
              <w:t> </w:t>
            </w:r>
          </w:p>
        </w:tc>
        <w:tc>
          <w:tcPr>
            <w:tcW w:w="129" w:type="dxa"/>
            <w:tcBorders/>
            <w:vAlign w:val="bottom"/>
          </w:tcPr>
          <w:p>
            <w:pPr>
              <w:pStyle w:val="TableContents"/>
              <w:bidi w:val="0"/>
              <w:spacing w:before="0" w:after="283"/>
              <w:jc w:val="left"/>
              <w:rPr/>
            </w:pPr>
            <w:r>
              <w:rPr/>
              <w:t>  </w:t>
            </w:r>
          </w:p>
        </w:tc>
        <w:tc>
          <w:tcPr>
            <w:tcW w:w="2507" w:type="dxa"/>
            <w:tcBorders/>
          </w:tcPr>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20"/>
              <w:jc w:val="center"/>
              <w:rPr>
                <w:rFonts w:ascii="Times New Roman" w:hAnsi="Times New Roman"/>
                <w:sz w:val="20"/>
              </w:rPr>
            </w:pPr>
            <w:r>
              <w:rPr>
                <w:rFonts w:ascii="Times New Roman" w:hAnsi="Times New Roman"/>
                <w:sz w:val="20"/>
              </w:rPr>
              <w:t>105.0% average BCI 5TC</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4" w:type="dxa"/>
            <w:tcBorders/>
          </w:tcPr>
          <w:p>
            <w:pPr>
              <w:pStyle w:val="TableContents"/>
              <w:bidi w:val="0"/>
              <w:spacing w:before="0" w:after="283"/>
              <w:jc w:val="right"/>
              <w:rPr/>
            </w:pPr>
            <w:r>
              <w:rPr/>
              <w:t>Jun-23</w:t>
              <w:br/>
              <w:t>Feb-24</w:t>
            </w:r>
          </w:p>
        </w:tc>
        <w:tc>
          <w:tcPr>
            <w:tcW w:w="68" w:type="dxa"/>
            <w:tcBorders/>
          </w:tcPr>
          <w:p>
            <w:pPr>
              <w:pStyle w:val="TableContents"/>
              <w:bidi w:val="0"/>
              <w:spacing w:before="0" w:after="283"/>
              <w:jc w:val="left"/>
              <w:rPr/>
            </w:pPr>
            <w:r>
              <w:rPr/>
              <w:t> </w:t>
            </w:r>
            <w:r>
              <w:rPr/>
              <w:br/>
              <w:t> </w:t>
            </w:r>
          </w:p>
        </w:tc>
      </w:tr>
      <w:tr>
        <w:trPr/>
        <w:tc>
          <w:tcPr>
            <w:tcW w:w="2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Aster</w:t>
            </w:r>
          </w:p>
        </w:tc>
        <w:tc>
          <w:tcPr>
            <w:tcW w:w="130" w:type="dxa"/>
            <w:tcBorders/>
            <w:shd w:fill="CCEEFF" w:val="clear"/>
            <w:vAlign w:val="bottom"/>
          </w:tcPr>
          <w:p>
            <w:pPr>
              <w:pStyle w:val="TableContents"/>
              <w:bidi w:val="0"/>
              <w:spacing w:before="0" w:after="283"/>
              <w:jc w:val="left"/>
              <w:rPr/>
            </w:pPr>
            <w:r>
              <w:rPr/>
              <w:t>  </w:t>
            </w:r>
          </w:p>
        </w:tc>
        <w:tc>
          <w:tcPr>
            <w:tcW w:w="875" w:type="dxa"/>
            <w:tcBorders/>
            <w:shd w:fill="CCEEFF" w:val="clear"/>
          </w:tcPr>
          <w:p>
            <w:pPr>
              <w:pStyle w:val="TableContents"/>
              <w:bidi w:val="0"/>
              <w:spacing w:before="0" w:after="283"/>
              <w:jc w:val="center"/>
              <w:rPr/>
            </w:pPr>
            <w:r>
              <w:rPr/>
              <w:t>Capesize</w:t>
            </w:r>
          </w:p>
        </w:tc>
        <w:tc>
          <w:tcPr>
            <w:tcW w:w="130" w:type="dxa"/>
            <w:tcBorders/>
            <w:shd w:fill="CCEEFF" w:val="clear"/>
            <w:vAlign w:val="bottom"/>
          </w:tcPr>
          <w:p>
            <w:pPr>
              <w:pStyle w:val="TableContents"/>
              <w:bidi w:val="0"/>
              <w:spacing w:before="0" w:after="283"/>
              <w:jc w:val="left"/>
              <w:rPr/>
            </w:pPr>
            <w:r>
              <w:rPr/>
              <w:t>  </w:t>
            </w:r>
          </w:p>
        </w:tc>
        <w:tc>
          <w:tcPr>
            <w:tcW w:w="504" w:type="dxa"/>
            <w:tcBorders/>
            <w:shd w:fill="CCEEFF" w:val="clear"/>
          </w:tcPr>
          <w:p>
            <w:pPr>
              <w:pStyle w:val="TableContents"/>
              <w:bidi w:val="0"/>
              <w:spacing w:before="0" w:after="283"/>
              <w:jc w:val="center"/>
              <w:rPr/>
            </w:pPr>
            <w:r>
              <w:rPr/>
              <w:t>2010</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4" w:type="dxa"/>
            <w:tcBorders/>
            <w:shd w:fill="CCEEFF" w:val="clear"/>
          </w:tcPr>
          <w:p>
            <w:pPr>
              <w:pStyle w:val="TableContents"/>
              <w:bidi w:val="0"/>
              <w:spacing w:before="0" w:after="283"/>
              <w:jc w:val="right"/>
              <w:rPr/>
            </w:pPr>
            <w:r>
              <w:rPr/>
              <w:t>179,314</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br/>
              <w:t> </w:t>
            </w:r>
          </w:p>
        </w:tc>
        <w:tc>
          <w:tcPr>
            <w:tcW w:w="790" w:type="dxa"/>
            <w:tcBorders/>
            <w:shd w:fill="CCEEFF" w:val="clear"/>
          </w:tcPr>
          <w:p>
            <w:pPr>
              <w:pStyle w:val="TableContents"/>
              <w:bidi w:val="0"/>
              <w:spacing w:before="0" w:after="283"/>
              <w:jc w:val="right"/>
              <w:rPr/>
            </w:pPr>
            <w:r>
              <w:rPr/>
              <w:t>19,932</w:t>
              <w:br/>
              <w:t>  </w:t>
            </w:r>
          </w:p>
        </w:tc>
        <w:tc>
          <w:tcPr>
            <w:tcW w:w="60" w:type="dxa"/>
            <w:tcBorders/>
            <w:shd w:fill="CCEEFF" w:val="clear"/>
          </w:tcPr>
          <w:p>
            <w:pPr>
              <w:pStyle w:val="TableContents"/>
              <w:bidi w:val="0"/>
              <w:spacing w:before="0" w:after="283"/>
              <w:jc w:val="left"/>
              <w:rPr/>
            </w:pPr>
            <w:r>
              <w:rPr/>
              <w:t> </w:t>
            </w:r>
            <w:r>
              <w:rPr/>
              <w:br/>
              <w:t> </w:t>
            </w:r>
          </w:p>
        </w:tc>
        <w:tc>
          <w:tcPr>
            <w:tcW w:w="129" w:type="dxa"/>
            <w:tcBorders/>
            <w:shd w:fill="CCEEFF" w:val="clear"/>
            <w:vAlign w:val="bottom"/>
          </w:tcPr>
          <w:p>
            <w:pPr>
              <w:pStyle w:val="TableContents"/>
              <w:bidi w:val="0"/>
              <w:spacing w:before="0" w:after="283"/>
              <w:jc w:val="left"/>
              <w:rPr/>
            </w:pPr>
            <w:r>
              <w:rPr/>
              <w:t>  </w:t>
            </w:r>
          </w:p>
        </w:tc>
        <w:tc>
          <w:tcPr>
            <w:tcW w:w="2507"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20"/>
              <w:jc w:val="center"/>
              <w:rPr>
                <w:rFonts w:ascii="Times New Roman" w:hAnsi="Times New Roman"/>
                <w:sz w:val="20"/>
              </w:rPr>
            </w:pPr>
            <w:r>
              <w:rPr>
                <w:rFonts w:ascii="Times New Roman" w:hAnsi="Times New Roman"/>
                <w:sz w:val="20"/>
              </w:rPr>
              <w:t>108.0% average BCI 5TC</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4" w:type="dxa"/>
            <w:tcBorders/>
            <w:shd w:fill="CCEEFF" w:val="clear"/>
          </w:tcPr>
          <w:p>
            <w:pPr>
              <w:pStyle w:val="TableContents"/>
              <w:bidi w:val="0"/>
              <w:spacing w:before="0" w:after="283"/>
              <w:jc w:val="right"/>
              <w:rPr/>
            </w:pPr>
            <w:r>
              <w:rPr/>
              <w:t>Jun-23</w:t>
              <w:br/>
              <w:t>Dec-23</w:t>
            </w:r>
          </w:p>
        </w:tc>
        <w:tc>
          <w:tcPr>
            <w:tcW w:w="68" w:type="dxa"/>
            <w:tcBorders/>
            <w:shd w:fill="CCEEFF" w:val="clear"/>
          </w:tcPr>
          <w:p>
            <w:pPr>
              <w:pStyle w:val="TableContents"/>
              <w:bidi w:val="0"/>
              <w:spacing w:before="0" w:after="283"/>
              <w:jc w:val="left"/>
              <w:rPr/>
            </w:pPr>
            <w:r>
              <w:rPr/>
              <w:t> </w:t>
            </w:r>
            <w:r>
              <w:rPr/>
              <w:br/>
              <w:t> </w:t>
            </w:r>
          </w:p>
        </w:tc>
      </w:tr>
      <w:tr>
        <w:trPr/>
        <w:tc>
          <w:tcPr>
            <w:tcW w:w="2904" w:type="dxa"/>
            <w:tcBorders/>
          </w:tcPr>
          <w:p>
            <w:pPr>
              <w:pStyle w:val="TableContents"/>
              <w:bidi w:val="0"/>
              <w:spacing w:before="0" w:after="0"/>
              <w:jc w:val="left"/>
              <w:rPr>
                <w:rFonts w:ascii="Times New Roman" w:hAnsi="Times New Roman"/>
                <w:sz w:val="20"/>
              </w:rPr>
            </w:pPr>
            <w:r>
              <w:rPr>
                <w:rFonts w:ascii="Times New Roman" w:hAnsi="Times New Roman"/>
                <w:sz w:val="20"/>
              </w:rPr>
              <w:t>Navios Ace(5)</w:t>
            </w:r>
          </w:p>
        </w:tc>
        <w:tc>
          <w:tcPr>
            <w:tcW w:w="130"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Capesize</w:t>
            </w:r>
          </w:p>
        </w:tc>
        <w:tc>
          <w:tcPr>
            <w:tcW w:w="130" w:type="dxa"/>
            <w:tcBorders/>
            <w:vAlign w:val="bottom"/>
          </w:tcPr>
          <w:p>
            <w:pPr>
              <w:pStyle w:val="TableContents"/>
              <w:bidi w:val="0"/>
              <w:spacing w:before="0" w:after="283"/>
              <w:jc w:val="left"/>
              <w:rPr/>
            </w:pPr>
            <w:r>
              <w:rPr/>
              <w:t>  </w:t>
            </w:r>
          </w:p>
        </w:tc>
        <w:tc>
          <w:tcPr>
            <w:tcW w:w="504" w:type="dxa"/>
            <w:tcBorders/>
          </w:tcPr>
          <w:p>
            <w:pPr>
              <w:pStyle w:val="TableContents"/>
              <w:bidi w:val="0"/>
              <w:spacing w:before="0" w:after="283"/>
              <w:jc w:val="center"/>
              <w:rPr/>
            </w:pPr>
            <w:r>
              <w:rPr/>
              <w:t>2011</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4" w:type="dxa"/>
            <w:tcBorders/>
          </w:tcPr>
          <w:p>
            <w:pPr>
              <w:pStyle w:val="TableContents"/>
              <w:bidi w:val="0"/>
              <w:spacing w:before="0" w:after="283"/>
              <w:jc w:val="right"/>
              <w:rPr/>
            </w:pPr>
            <w:r>
              <w:rPr/>
              <w:t>179,016</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790"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507" w:type="dxa"/>
            <w:tcBorders/>
          </w:tcPr>
          <w:p>
            <w:pPr>
              <w:pStyle w:val="TableContents"/>
              <w:bidi w:val="0"/>
              <w:spacing w:before="0" w:after="283"/>
              <w:jc w:val="center"/>
              <w:rPr/>
            </w:pPr>
            <w:r>
              <w:rPr/>
              <w:t>107.25% average BCI 5TC</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4" w:type="dxa"/>
            <w:tcBorders/>
          </w:tcPr>
          <w:p>
            <w:pPr>
              <w:pStyle w:val="TableContents"/>
              <w:bidi w:val="0"/>
              <w:spacing w:before="0" w:after="283"/>
              <w:jc w:val="right"/>
              <w:rPr/>
            </w:pPr>
            <w:r>
              <w:rPr/>
              <w:t>Mar-24</w:t>
            </w:r>
          </w:p>
        </w:tc>
        <w:tc>
          <w:tcPr>
            <w:tcW w:w="68" w:type="dxa"/>
            <w:tcBorders/>
          </w:tcPr>
          <w:p>
            <w:pPr>
              <w:pStyle w:val="TableContents"/>
              <w:bidi w:val="0"/>
              <w:spacing w:before="0" w:after="283"/>
              <w:jc w:val="left"/>
              <w:rPr/>
            </w:pPr>
            <w:r>
              <w:rPr/>
              <w:t> </w:t>
            </w:r>
          </w:p>
        </w:tc>
      </w:tr>
      <w:tr>
        <w:trPr/>
        <w:tc>
          <w:tcPr>
            <w:tcW w:w="2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Altamira</w:t>
            </w:r>
          </w:p>
        </w:tc>
        <w:tc>
          <w:tcPr>
            <w:tcW w:w="130" w:type="dxa"/>
            <w:tcBorders/>
            <w:shd w:fill="CCEEFF" w:val="clear"/>
            <w:vAlign w:val="bottom"/>
          </w:tcPr>
          <w:p>
            <w:pPr>
              <w:pStyle w:val="TableContents"/>
              <w:bidi w:val="0"/>
              <w:spacing w:before="0" w:after="283"/>
              <w:jc w:val="left"/>
              <w:rPr/>
            </w:pPr>
            <w:r>
              <w:rPr/>
              <w:t>  </w:t>
            </w:r>
          </w:p>
        </w:tc>
        <w:tc>
          <w:tcPr>
            <w:tcW w:w="875" w:type="dxa"/>
            <w:tcBorders/>
            <w:shd w:fill="CCEEFF" w:val="clear"/>
          </w:tcPr>
          <w:p>
            <w:pPr>
              <w:pStyle w:val="TableContents"/>
              <w:bidi w:val="0"/>
              <w:spacing w:before="0" w:after="283"/>
              <w:jc w:val="center"/>
              <w:rPr/>
            </w:pPr>
            <w:r>
              <w:rPr/>
              <w:t>Capesize</w:t>
            </w:r>
          </w:p>
        </w:tc>
        <w:tc>
          <w:tcPr>
            <w:tcW w:w="130" w:type="dxa"/>
            <w:tcBorders/>
            <w:shd w:fill="CCEEFF" w:val="clear"/>
            <w:vAlign w:val="bottom"/>
          </w:tcPr>
          <w:p>
            <w:pPr>
              <w:pStyle w:val="TableContents"/>
              <w:bidi w:val="0"/>
              <w:spacing w:before="0" w:after="283"/>
              <w:jc w:val="left"/>
              <w:rPr/>
            </w:pPr>
            <w:r>
              <w:rPr/>
              <w:t>  </w:t>
            </w:r>
          </w:p>
        </w:tc>
        <w:tc>
          <w:tcPr>
            <w:tcW w:w="504" w:type="dxa"/>
            <w:tcBorders/>
            <w:shd w:fill="CCEEFF" w:val="clear"/>
          </w:tcPr>
          <w:p>
            <w:pPr>
              <w:pStyle w:val="TableContents"/>
              <w:bidi w:val="0"/>
              <w:spacing w:before="0" w:after="283"/>
              <w:jc w:val="center"/>
              <w:rPr/>
            </w:pPr>
            <w:r>
              <w:rPr/>
              <w:t>2011</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4" w:type="dxa"/>
            <w:tcBorders/>
            <w:shd w:fill="CCEEFF" w:val="clear"/>
          </w:tcPr>
          <w:p>
            <w:pPr>
              <w:pStyle w:val="TableContents"/>
              <w:bidi w:val="0"/>
              <w:spacing w:before="0" w:after="283"/>
              <w:jc w:val="right"/>
              <w:rPr/>
            </w:pPr>
            <w:r>
              <w:rPr/>
              <w:t>179,165</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790"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507" w:type="dxa"/>
            <w:tcBorders/>
            <w:shd w:fill="CCEEFF" w:val="clear"/>
          </w:tcPr>
          <w:p>
            <w:pPr>
              <w:pStyle w:val="TableContents"/>
              <w:bidi w:val="0"/>
              <w:spacing w:before="0" w:after="283"/>
              <w:jc w:val="center"/>
              <w:rPr/>
            </w:pPr>
            <w:r>
              <w:rPr/>
              <w:t>107.0% average BCI 5TC</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4" w:type="dxa"/>
            <w:tcBorders/>
            <w:shd w:fill="CCEEFF" w:val="clear"/>
          </w:tcPr>
          <w:p>
            <w:pPr>
              <w:pStyle w:val="TableContents"/>
              <w:bidi w:val="0"/>
              <w:spacing w:before="0" w:after="283"/>
              <w:jc w:val="right"/>
              <w:rPr/>
            </w:pPr>
            <w:r>
              <w:rPr/>
              <w:t>Mar-24</w:t>
            </w:r>
          </w:p>
        </w:tc>
        <w:tc>
          <w:tcPr>
            <w:tcW w:w="68" w:type="dxa"/>
            <w:tcBorders/>
            <w:shd w:fill="CCEEFF" w:val="clear"/>
          </w:tcPr>
          <w:p>
            <w:pPr>
              <w:pStyle w:val="TableContents"/>
              <w:bidi w:val="0"/>
              <w:spacing w:before="0" w:after="283"/>
              <w:jc w:val="left"/>
              <w:rPr/>
            </w:pPr>
            <w:r>
              <w:rPr/>
              <w:t> </w:t>
            </w:r>
          </w:p>
        </w:tc>
      </w:tr>
      <w:tr>
        <w:trPr/>
        <w:tc>
          <w:tcPr>
            <w:tcW w:w="2904" w:type="dxa"/>
            <w:tcBorders/>
          </w:tcPr>
          <w:p>
            <w:pPr>
              <w:pStyle w:val="TableContents"/>
              <w:bidi w:val="0"/>
              <w:spacing w:before="0" w:after="0"/>
              <w:jc w:val="left"/>
              <w:rPr>
                <w:rFonts w:ascii="Times New Roman" w:hAnsi="Times New Roman"/>
                <w:sz w:val="20"/>
              </w:rPr>
            </w:pPr>
            <w:r>
              <w:rPr>
                <w:rFonts w:ascii="Times New Roman" w:hAnsi="Times New Roman"/>
                <w:sz w:val="20"/>
              </w:rPr>
              <w:t>Navios Azimuth</w:t>
            </w:r>
          </w:p>
        </w:tc>
        <w:tc>
          <w:tcPr>
            <w:tcW w:w="130"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Capesize</w:t>
            </w:r>
          </w:p>
        </w:tc>
        <w:tc>
          <w:tcPr>
            <w:tcW w:w="130" w:type="dxa"/>
            <w:tcBorders/>
            <w:vAlign w:val="bottom"/>
          </w:tcPr>
          <w:p>
            <w:pPr>
              <w:pStyle w:val="TableContents"/>
              <w:bidi w:val="0"/>
              <w:spacing w:before="0" w:after="283"/>
              <w:jc w:val="left"/>
              <w:rPr/>
            </w:pPr>
            <w:r>
              <w:rPr/>
              <w:t>  </w:t>
            </w:r>
          </w:p>
        </w:tc>
        <w:tc>
          <w:tcPr>
            <w:tcW w:w="504" w:type="dxa"/>
            <w:tcBorders/>
          </w:tcPr>
          <w:p>
            <w:pPr>
              <w:pStyle w:val="TableContents"/>
              <w:bidi w:val="0"/>
              <w:spacing w:before="0" w:after="283"/>
              <w:jc w:val="center"/>
              <w:rPr/>
            </w:pPr>
            <w:r>
              <w:rPr/>
              <w:t>2011</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4" w:type="dxa"/>
            <w:tcBorders/>
          </w:tcPr>
          <w:p>
            <w:pPr>
              <w:pStyle w:val="TableContents"/>
              <w:bidi w:val="0"/>
              <w:spacing w:before="0" w:after="283"/>
              <w:jc w:val="right"/>
              <w:rPr/>
            </w:pPr>
            <w:r>
              <w:rPr/>
              <w:t>179,169</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br/>
              <w:t> </w:t>
            </w:r>
          </w:p>
        </w:tc>
        <w:tc>
          <w:tcPr>
            <w:tcW w:w="790" w:type="dxa"/>
            <w:tcBorders/>
          </w:tcPr>
          <w:p>
            <w:pPr>
              <w:pStyle w:val="TableContents"/>
              <w:bidi w:val="0"/>
              <w:spacing w:before="0" w:after="283"/>
              <w:jc w:val="right"/>
              <w:rPr/>
            </w:pPr>
            <w:r>
              <w:rPr/>
              <w:t>19,701</w:t>
              <w:br/>
              <w:t>  </w:t>
            </w:r>
          </w:p>
        </w:tc>
        <w:tc>
          <w:tcPr>
            <w:tcW w:w="60" w:type="dxa"/>
            <w:tcBorders/>
          </w:tcPr>
          <w:p>
            <w:pPr>
              <w:pStyle w:val="TableContents"/>
              <w:bidi w:val="0"/>
              <w:spacing w:before="0" w:after="283"/>
              <w:jc w:val="left"/>
              <w:rPr/>
            </w:pPr>
            <w:r>
              <w:rPr/>
              <w:t> </w:t>
            </w:r>
            <w:r>
              <w:rPr/>
              <w:br/>
              <w:t> </w:t>
            </w:r>
          </w:p>
        </w:tc>
        <w:tc>
          <w:tcPr>
            <w:tcW w:w="129" w:type="dxa"/>
            <w:tcBorders/>
            <w:vAlign w:val="bottom"/>
          </w:tcPr>
          <w:p>
            <w:pPr>
              <w:pStyle w:val="TableContents"/>
              <w:bidi w:val="0"/>
              <w:spacing w:before="0" w:after="283"/>
              <w:jc w:val="left"/>
              <w:rPr/>
            </w:pPr>
            <w:r>
              <w:rPr/>
              <w:t>  </w:t>
            </w:r>
          </w:p>
        </w:tc>
        <w:tc>
          <w:tcPr>
            <w:tcW w:w="2507" w:type="dxa"/>
            <w:tcBorders/>
          </w:tcPr>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20"/>
              <w:jc w:val="center"/>
              <w:rPr>
                <w:rFonts w:ascii="Times New Roman" w:hAnsi="Times New Roman"/>
                <w:sz w:val="20"/>
              </w:rPr>
            </w:pPr>
            <w:r>
              <w:rPr>
                <w:rFonts w:ascii="Times New Roman" w:hAnsi="Times New Roman"/>
                <w:sz w:val="20"/>
              </w:rPr>
              <w:t>105.0% average BCI 5TC</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4" w:type="dxa"/>
            <w:tcBorders/>
          </w:tcPr>
          <w:p>
            <w:pPr>
              <w:pStyle w:val="TableContents"/>
              <w:bidi w:val="0"/>
              <w:spacing w:before="0" w:after="283"/>
              <w:jc w:val="right"/>
              <w:rPr/>
            </w:pPr>
            <w:r>
              <w:rPr/>
              <w:t>Jun-23</w:t>
              <w:br/>
              <w:t>Feb-24</w:t>
            </w:r>
          </w:p>
        </w:tc>
        <w:tc>
          <w:tcPr>
            <w:tcW w:w="68" w:type="dxa"/>
            <w:tcBorders/>
          </w:tcPr>
          <w:p>
            <w:pPr>
              <w:pStyle w:val="TableContents"/>
              <w:bidi w:val="0"/>
              <w:spacing w:before="0" w:after="283"/>
              <w:jc w:val="left"/>
              <w:rPr/>
            </w:pPr>
            <w:r>
              <w:rPr/>
              <w:t> </w:t>
            </w:r>
            <w:r>
              <w:rPr/>
              <w:br/>
              <w:t> </w:t>
            </w:r>
          </w:p>
        </w:tc>
      </w:tr>
      <w:tr>
        <w:trPr/>
        <w:tc>
          <w:tcPr>
            <w:tcW w:w="2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Koyo</w:t>
            </w:r>
          </w:p>
        </w:tc>
        <w:tc>
          <w:tcPr>
            <w:tcW w:w="130" w:type="dxa"/>
            <w:tcBorders/>
            <w:shd w:fill="CCEEFF" w:val="clear"/>
            <w:vAlign w:val="bottom"/>
          </w:tcPr>
          <w:p>
            <w:pPr>
              <w:pStyle w:val="TableContents"/>
              <w:bidi w:val="0"/>
              <w:spacing w:before="0" w:after="283"/>
              <w:jc w:val="left"/>
              <w:rPr/>
            </w:pPr>
            <w:r>
              <w:rPr/>
              <w:t>  </w:t>
            </w:r>
          </w:p>
        </w:tc>
        <w:tc>
          <w:tcPr>
            <w:tcW w:w="875" w:type="dxa"/>
            <w:tcBorders/>
            <w:shd w:fill="CCEEFF" w:val="clear"/>
          </w:tcPr>
          <w:p>
            <w:pPr>
              <w:pStyle w:val="TableContents"/>
              <w:bidi w:val="0"/>
              <w:spacing w:before="0" w:after="283"/>
              <w:jc w:val="center"/>
              <w:rPr/>
            </w:pPr>
            <w:r>
              <w:rPr/>
              <w:t>Capesize</w:t>
            </w:r>
          </w:p>
        </w:tc>
        <w:tc>
          <w:tcPr>
            <w:tcW w:w="130" w:type="dxa"/>
            <w:tcBorders/>
            <w:shd w:fill="CCEEFF" w:val="clear"/>
            <w:vAlign w:val="bottom"/>
          </w:tcPr>
          <w:p>
            <w:pPr>
              <w:pStyle w:val="TableContents"/>
              <w:bidi w:val="0"/>
              <w:spacing w:before="0" w:after="283"/>
              <w:jc w:val="left"/>
              <w:rPr/>
            </w:pPr>
            <w:r>
              <w:rPr/>
              <w:t>  </w:t>
            </w:r>
          </w:p>
        </w:tc>
        <w:tc>
          <w:tcPr>
            <w:tcW w:w="504" w:type="dxa"/>
            <w:tcBorders/>
            <w:shd w:fill="CCEEFF" w:val="clear"/>
          </w:tcPr>
          <w:p>
            <w:pPr>
              <w:pStyle w:val="TableContents"/>
              <w:bidi w:val="0"/>
              <w:spacing w:before="0" w:after="283"/>
              <w:jc w:val="center"/>
              <w:rPr/>
            </w:pPr>
            <w:r>
              <w:rPr/>
              <w:t>2011</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4" w:type="dxa"/>
            <w:tcBorders/>
            <w:shd w:fill="CCEEFF" w:val="clear"/>
          </w:tcPr>
          <w:p>
            <w:pPr>
              <w:pStyle w:val="TableContents"/>
              <w:bidi w:val="0"/>
              <w:spacing w:before="0" w:after="283"/>
              <w:jc w:val="right"/>
              <w:rPr/>
            </w:pPr>
            <w:r>
              <w:rPr/>
              <w:t>181,415</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br/>
              <w:t> </w:t>
            </w:r>
          </w:p>
        </w:tc>
        <w:tc>
          <w:tcPr>
            <w:tcW w:w="790" w:type="dxa"/>
            <w:tcBorders/>
            <w:shd w:fill="CCEEFF" w:val="clear"/>
          </w:tcPr>
          <w:p>
            <w:pPr>
              <w:pStyle w:val="TableContents"/>
              <w:bidi w:val="0"/>
              <w:spacing w:before="0" w:after="283"/>
              <w:jc w:val="right"/>
              <w:rPr/>
            </w:pPr>
            <w:r>
              <w:rPr/>
              <w:t>22,308</w:t>
              <w:br/>
              <w:t>  </w:t>
            </w:r>
          </w:p>
        </w:tc>
        <w:tc>
          <w:tcPr>
            <w:tcW w:w="60" w:type="dxa"/>
            <w:tcBorders/>
            <w:shd w:fill="CCEEFF" w:val="clear"/>
          </w:tcPr>
          <w:p>
            <w:pPr>
              <w:pStyle w:val="TableContents"/>
              <w:bidi w:val="0"/>
              <w:spacing w:before="0" w:after="283"/>
              <w:jc w:val="left"/>
              <w:rPr/>
            </w:pPr>
            <w:r>
              <w:rPr/>
              <w:t> </w:t>
            </w:r>
            <w:r>
              <w:rPr/>
              <w:br/>
              <w:t> </w:t>
            </w:r>
          </w:p>
        </w:tc>
        <w:tc>
          <w:tcPr>
            <w:tcW w:w="129" w:type="dxa"/>
            <w:tcBorders/>
            <w:shd w:fill="CCEEFF" w:val="clear"/>
            <w:vAlign w:val="bottom"/>
          </w:tcPr>
          <w:p>
            <w:pPr>
              <w:pStyle w:val="TableContents"/>
              <w:bidi w:val="0"/>
              <w:spacing w:before="0" w:after="283"/>
              <w:jc w:val="left"/>
              <w:rPr/>
            </w:pPr>
            <w:r>
              <w:rPr/>
              <w:t>  </w:t>
            </w:r>
          </w:p>
        </w:tc>
        <w:tc>
          <w:tcPr>
            <w:tcW w:w="2507"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20"/>
              <w:jc w:val="center"/>
              <w:rPr>
                <w:rFonts w:ascii="Times New Roman" w:hAnsi="Times New Roman"/>
                <w:sz w:val="20"/>
              </w:rPr>
            </w:pPr>
            <w:r>
              <w:rPr>
                <w:rFonts w:ascii="Times New Roman" w:hAnsi="Times New Roman"/>
                <w:sz w:val="20"/>
              </w:rPr>
              <w:t>118.0% average BCI 5TC</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4" w:type="dxa"/>
            <w:tcBorders/>
            <w:shd w:fill="CCEEFF" w:val="clear"/>
          </w:tcPr>
          <w:p>
            <w:pPr>
              <w:pStyle w:val="TableContents"/>
              <w:bidi w:val="0"/>
              <w:spacing w:before="0" w:after="283"/>
              <w:jc w:val="right"/>
              <w:rPr/>
            </w:pPr>
            <w:r>
              <w:rPr/>
              <w:t>Jun-23</w:t>
              <w:br/>
              <w:t>Apr-24</w:t>
            </w:r>
          </w:p>
        </w:tc>
        <w:tc>
          <w:tcPr>
            <w:tcW w:w="68" w:type="dxa"/>
            <w:tcBorders/>
            <w:shd w:fill="CCEEFF" w:val="clear"/>
          </w:tcPr>
          <w:p>
            <w:pPr>
              <w:pStyle w:val="TableContents"/>
              <w:bidi w:val="0"/>
              <w:spacing w:before="0" w:after="283"/>
              <w:jc w:val="left"/>
              <w:rPr/>
            </w:pPr>
            <w:r>
              <w:rPr/>
              <w:t> </w:t>
            </w:r>
            <w:r>
              <w:rPr/>
              <w:br/>
              <w:t> </w:t>
            </w:r>
          </w:p>
        </w:tc>
      </w:tr>
      <w:tr>
        <w:trPr/>
        <w:tc>
          <w:tcPr>
            <w:tcW w:w="2904" w:type="dxa"/>
            <w:tcBorders/>
          </w:tcPr>
          <w:p>
            <w:pPr>
              <w:pStyle w:val="TableContents"/>
              <w:bidi w:val="0"/>
              <w:spacing w:before="0" w:after="0"/>
              <w:jc w:val="left"/>
              <w:rPr>
                <w:rFonts w:ascii="Times New Roman" w:hAnsi="Times New Roman"/>
                <w:sz w:val="20"/>
              </w:rPr>
            </w:pPr>
            <w:r>
              <w:rPr>
                <w:rFonts w:ascii="Times New Roman" w:hAnsi="Times New Roman"/>
                <w:sz w:val="20"/>
              </w:rPr>
              <w:t>Navios Ray(5)</w:t>
            </w:r>
          </w:p>
        </w:tc>
        <w:tc>
          <w:tcPr>
            <w:tcW w:w="130"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Capesize</w:t>
            </w:r>
          </w:p>
        </w:tc>
        <w:tc>
          <w:tcPr>
            <w:tcW w:w="130" w:type="dxa"/>
            <w:tcBorders/>
            <w:vAlign w:val="bottom"/>
          </w:tcPr>
          <w:p>
            <w:pPr>
              <w:pStyle w:val="TableContents"/>
              <w:bidi w:val="0"/>
              <w:spacing w:before="0" w:after="283"/>
              <w:jc w:val="left"/>
              <w:rPr/>
            </w:pPr>
            <w:r>
              <w:rPr/>
              <w:t>  </w:t>
            </w:r>
          </w:p>
        </w:tc>
        <w:tc>
          <w:tcPr>
            <w:tcW w:w="504" w:type="dxa"/>
            <w:tcBorders/>
          </w:tcPr>
          <w:p>
            <w:pPr>
              <w:pStyle w:val="TableContents"/>
              <w:bidi w:val="0"/>
              <w:spacing w:before="0" w:after="283"/>
              <w:jc w:val="center"/>
              <w:rPr/>
            </w:pPr>
            <w:r>
              <w:rPr/>
              <w:t>2012</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4" w:type="dxa"/>
            <w:tcBorders/>
          </w:tcPr>
          <w:p>
            <w:pPr>
              <w:pStyle w:val="TableContents"/>
              <w:bidi w:val="0"/>
              <w:spacing w:before="0" w:after="283"/>
              <w:jc w:val="right"/>
              <w:rPr/>
            </w:pPr>
            <w:r>
              <w:rPr/>
              <w:t>179,515</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br/>
              <w:t> </w:t>
            </w:r>
          </w:p>
        </w:tc>
        <w:tc>
          <w:tcPr>
            <w:tcW w:w="790" w:type="dxa"/>
            <w:tcBorders/>
          </w:tcPr>
          <w:p>
            <w:pPr>
              <w:pStyle w:val="TableContents"/>
              <w:bidi w:val="0"/>
              <w:spacing w:before="0" w:after="283"/>
              <w:jc w:val="right"/>
              <w:rPr/>
            </w:pPr>
            <w:r>
              <w:rPr/>
              <w:t>19,950</w:t>
              <w:br/>
              <w:t>  </w:t>
            </w:r>
          </w:p>
        </w:tc>
        <w:tc>
          <w:tcPr>
            <w:tcW w:w="60" w:type="dxa"/>
            <w:tcBorders/>
          </w:tcPr>
          <w:p>
            <w:pPr>
              <w:pStyle w:val="TableContents"/>
              <w:bidi w:val="0"/>
              <w:spacing w:before="0" w:after="283"/>
              <w:jc w:val="left"/>
              <w:rPr/>
            </w:pPr>
            <w:r>
              <w:rPr/>
              <w:t> </w:t>
            </w:r>
            <w:r>
              <w:rPr/>
              <w:br/>
              <w:t> </w:t>
            </w:r>
          </w:p>
        </w:tc>
        <w:tc>
          <w:tcPr>
            <w:tcW w:w="129" w:type="dxa"/>
            <w:tcBorders/>
            <w:vAlign w:val="bottom"/>
          </w:tcPr>
          <w:p>
            <w:pPr>
              <w:pStyle w:val="TableContents"/>
              <w:bidi w:val="0"/>
              <w:spacing w:before="0" w:after="283"/>
              <w:jc w:val="left"/>
              <w:rPr/>
            </w:pPr>
            <w:r>
              <w:rPr/>
              <w:t>  </w:t>
            </w:r>
          </w:p>
        </w:tc>
        <w:tc>
          <w:tcPr>
            <w:tcW w:w="2507" w:type="dxa"/>
            <w:tcBorders/>
          </w:tcPr>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20"/>
              <w:jc w:val="center"/>
              <w:rPr>
                <w:rFonts w:ascii="Times New Roman" w:hAnsi="Times New Roman"/>
                <w:sz w:val="20"/>
              </w:rPr>
            </w:pPr>
            <w:r>
              <w:rPr>
                <w:rFonts w:ascii="Times New Roman" w:hAnsi="Times New Roman"/>
                <w:sz w:val="20"/>
              </w:rPr>
              <w:t>105.0% average BCI 5TC</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4" w:type="dxa"/>
            <w:tcBorders/>
          </w:tcPr>
          <w:p>
            <w:pPr>
              <w:pStyle w:val="TableContents"/>
              <w:bidi w:val="0"/>
              <w:spacing w:before="0" w:after="283"/>
              <w:jc w:val="right"/>
              <w:rPr/>
            </w:pPr>
            <w:r>
              <w:rPr/>
              <w:t>Dec-23</w:t>
              <w:br/>
              <w:t>Feb-24</w:t>
            </w:r>
          </w:p>
        </w:tc>
        <w:tc>
          <w:tcPr>
            <w:tcW w:w="68" w:type="dxa"/>
            <w:tcBorders/>
          </w:tcPr>
          <w:p>
            <w:pPr>
              <w:pStyle w:val="TableContents"/>
              <w:bidi w:val="0"/>
              <w:spacing w:before="0" w:after="283"/>
              <w:jc w:val="left"/>
              <w:rPr/>
            </w:pPr>
            <w:r>
              <w:rPr/>
              <w:t> </w:t>
            </w:r>
            <w:r>
              <w:rPr/>
              <w:br/>
              <w:t> </w:t>
            </w:r>
          </w:p>
        </w:tc>
      </w:tr>
      <w:tr>
        <w:trPr/>
        <w:tc>
          <w:tcPr>
            <w:tcW w:w="2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Joy</w:t>
            </w:r>
          </w:p>
        </w:tc>
        <w:tc>
          <w:tcPr>
            <w:tcW w:w="130" w:type="dxa"/>
            <w:tcBorders/>
            <w:shd w:fill="CCEEFF" w:val="clear"/>
            <w:vAlign w:val="bottom"/>
          </w:tcPr>
          <w:p>
            <w:pPr>
              <w:pStyle w:val="TableContents"/>
              <w:bidi w:val="0"/>
              <w:spacing w:before="0" w:after="283"/>
              <w:jc w:val="left"/>
              <w:rPr/>
            </w:pPr>
            <w:r>
              <w:rPr/>
              <w:t>  </w:t>
            </w:r>
          </w:p>
        </w:tc>
        <w:tc>
          <w:tcPr>
            <w:tcW w:w="875" w:type="dxa"/>
            <w:tcBorders/>
            <w:shd w:fill="CCEEFF" w:val="clear"/>
          </w:tcPr>
          <w:p>
            <w:pPr>
              <w:pStyle w:val="TableContents"/>
              <w:bidi w:val="0"/>
              <w:spacing w:before="0" w:after="283"/>
              <w:jc w:val="center"/>
              <w:rPr/>
            </w:pPr>
            <w:r>
              <w:rPr/>
              <w:t>Capesize</w:t>
            </w:r>
          </w:p>
        </w:tc>
        <w:tc>
          <w:tcPr>
            <w:tcW w:w="130" w:type="dxa"/>
            <w:tcBorders/>
            <w:shd w:fill="CCEEFF" w:val="clear"/>
            <w:vAlign w:val="bottom"/>
          </w:tcPr>
          <w:p>
            <w:pPr>
              <w:pStyle w:val="TableContents"/>
              <w:bidi w:val="0"/>
              <w:spacing w:before="0" w:after="283"/>
              <w:jc w:val="left"/>
              <w:rPr/>
            </w:pPr>
            <w:r>
              <w:rPr/>
              <w:t>  </w:t>
            </w:r>
          </w:p>
        </w:tc>
        <w:tc>
          <w:tcPr>
            <w:tcW w:w="504" w:type="dxa"/>
            <w:tcBorders/>
            <w:shd w:fill="CCEEFF" w:val="clear"/>
          </w:tcPr>
          <w:p>
            <w:pPr>
              <w:pStyle w:val="TableContents"/>
              <w:bidi w:val="0"/>
              <w:spacing w:before="0" w:after="283"/>
              <w:jc w:val="center"/>
              <w:rPr/>
            </w:pPr>
            <w:r>
              <w:rPr/>
              <w:t>2013</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4" w:type="dxa"/>
            <w:tcBorders/>
            <w:shd w:fill="CCEEFF" w:val="clear"/>
          </w:tcPr>
          <w:p>
            <w:pPr>
              <w:pStyle w:val="TableContents"/>
              <w:bidi w:val="0"/>
              <w:spacing w:before="0" w:after="283"/>
              <w:jc w:val="right"/>
              <w:rPr/>
            </w:pPr>
            <w:r>
              <w:rPr/>
              <w:t>181,389</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790" w:type="dxa"/>
            <w:tcBorders/>
            <w:shd w:fill="CCEEFF" w:val="clear"/>
          </w:tcPr>
          <w:p>
            <w:pPr>
              <w:pStyle w:val="TableContents"/>
              <w:bidi w:val="0"/>
              <w:spacing w:before="0" w:after="283"/>
              <w:jc w:val="right"/>
              <w:rPr/>
            </w:pPr>
            <w:r>
              <w:rPr/>
              <w:t>Freight</w:t>
              <w:br/>
              <w:t>Voyage</w:t>
            </w:r>
          </w:p>
        </w:tc>
        <w:tc>
          <w:tcPr>
            <w:tcW w:w="60" w:type="dxa"/>
            <w:tcBorders/>
            <w:shd w:fill="CCEEFF" w:val="clear"/>
          </w:tcPr>
          <w:p>
            <w:pPr>
              <w:pStyle w:val="TableContents"/>
              <w:bidi w:val="0"/>
              <w:spacing w:before="0" w:after="283"/>
              <w:jc w:val="left"/>
              <w:rPr/>
            </w:pPr>
            <w:r>
              <w:rPr/>
              <w:t> </w:t>
            </w:r>
            <w:r>
              <w:rPr/>
              <w:br/>
              <w:t> </w:t>
            </w:r>
          </w:p>
        </w:tc>
        <w:tc>
          <w:tcPr>
            <w:tcW w:w="129" w:type="dxa"/>
            <w:tcBorders/>
            <w:shd w:fill="CCEEFF" w:val="clear"/>
            <w:vAlign w:val="bottom"/>
          </w:tcPr>
          <w:p>
            <w:pPr>
              <w:pStyle w:val="TableContents"/>
              <w:bidi w:val="0"/>
              <w:spacing w:before="0" w:after="283"/>
              <w:jc w:val="left"/>
              <w:rPr/>
            </w:pPr>
            <w:r>
              <w:rPr/>
              <w:t>  </w:t>
            </w:r>
          </w:p>
        </w:tc>
        <w:tc>
          <w:tcPr>
            <w:tcW w:w="2507" w:type="dxa"/>
            <w:tcBorders/>
            <w:shd w:fill="CCEEFF" w:val="clear"/>
          </w:tcPr>
          <w:p>
            <w:pPr>
              <w:pStyle w:val="TableContents"/>
              <w:bidi w:val="0"/>
              <w:spacing w:before="0" w:after="283"/>
              <w:jc w:val="center"/>
              <w:rPr/>
            </w:pPr>
            <w:r>
              <w:rPr/>
              <w:t>No</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4" w:type="dxa"/>
            <w:tcBorders/>
            <w:shd w:fill="CCEEFF" w:val="clear"/>
          </w:tcPr>
          <w:p>
            <w:pPr>
              <w:pStyle w:val="TableContents"/>
              <w:bidi w:val="0"/>
              <w:spacing w:before="0" w:after="283"/>
              <w:jc w:val="right"/>
              <w:rPr/>
            </w:pPr>
            <w:r>
              <w:rPr/>
              <w:t>Sep-23</w:t>
            </w:r>
          </w:p>
        </w:tc>
        <w:tc>
          <w:tcPr>
            <w:tcW w:w="68" w:type="dxa"/>
            <w:tcBorders/>
            <w:shd w:fill="CCEEFF" w:val="clear"/>
          </w:tcPr>
          <w:p>
            <w:pPr>
              <w:pStyle w:val="TableContents"/>
              <w:bidi w:val="0"/>
              <w:spacing w:before="0" w:after="283"/>
              <w:jc w:val="left"/>
              <w:rPr/>
            </w:pPr>
            <w:r>
              <w:rPr/>
              <w:t> </w:t>
            </w:r>
          </w:p>
        </w:tc>
      </w:tr>
      <w:tr>
        <w:trPr/>
        <w:tc>
          <w:tcPr>
            <w:tcW w:w="2904" w:type="dxa"/>
            <w:tcBorders/>
          </w:tcPr>
          <w:p>
            <w:pPr>
              <w:pStyle w:val="TableContents"/>
              <w:bidi w:val="0"/>
              <w:spacing w:before="0" w:after="0"/>
              <w:jc w:val="left"/>
              <w:rPr>
                <w:rFonts w:ascii="Times New Roman" w:hAnsi="Times New Roman"/>
                <w:sz w:val="20"/>
              </w:rPr>
            </w:pPr>
            <w:r>
              <w:rPr>
                <w:rFonts w:ascii="Times New Roman" w:hAnsi="Times New Roman"/>
                <w:sz w:val="20"/>
              </w:rPr>
              <w:t>Navios Gem</w:t>
            </w:r>
          </w:p>
        </w:tc>
        <w:tc>
          <w:tcPr>
            <w:tcW w:w="130"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Capesize</w:t>
            </w:r>
          </w:p>
        </w:tc>
        <w:tc>
          <w:tcPr>
            <w:tcW w:w="130" w:type="dxa"/>
            <w:tcBorders/>
            <w:vAlign w:val="bottom"/>
          </w:tcPr>
          <w:p>
            <w:pPr>
              <w:pStyle w:val="TableContents"/>
              <w:bidi w:val="0"/>
              <w:spacing w:before="0" w:after="283"/>
              <w:jc w:val="left"/>
              <w:rPr/>
            </w:pPr>
            <w:r>
              <w:rPr/>
              <w:t>  </w:t>
            </w:r>
          </w:p>
        </w:tc>
        <w:tc>
          <w:tcPr>
            <w:tcW w:w="504" w:type="dxa"/>
            <w:tcBorders/>
          </w:tcPr>
          <w:p>
            <w:pPr>
              <w:pStyle w:val="TableContents"/>
              <w:bidi w:val="0"/>
              <w:spacing w:before="0" w:after="283"/>
              <w:jc w:val="center"/>
              <w:rPr/>
            </w:pPr>
            <w:r>
              <w:rPr/>
              <w:t>2014</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4" w:type="dxa"/>
            <w:tcBorders/>
          </w:tcPr>
          <w:p>
            <w:pPr>
              <w:pStyle w:val="TableContents"/>
              <w:bidi w:val="0"/>
              <w:spacing w:before="0" w:after="283"/>
              <w:jc w:val="right"/>
              <w:rPr/>
            </w:pPr>
            <w:r>
              <w:rPr/>
              <w:t>181,336</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790"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507" w:type="dxa"/>
            <w:tcBorders/>
          </w:tcPr>
          <w:p>
            <w:pPr>
              <w:pStyle w:val="TableContents"/>
              <w:bidi w:val="0"/>
              <w:spacing w:before="0" w:after="283"/>
              <w:jc w:val="center"/>
              <w:rPr/>
            </w:pPr>
            <w:r>
              <w:rPr/>
              <w:t>128.0% average BCI 5TC</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4" w:type="dxa"/>
            <w:tcBorders/>
          </w:tcPr>
          <w:p>
            <w:pPr>
              <w:pStyle w:val="TableContents"/>
              <w:bidi w:val="0"/>
              <w:spacing w:before="0" w:after="283"/>
              <w:jc w:val="right"/>
              <w:rPr/>
            </w:pPr>
            <w:r>
              <w:rPr/>
              <w:t>Jan-24</w:t>
            </w:r>
          </w:p>
        </w:tc>
        <w:tc>
          <w:tcPr>
            <w:tcW w:w="68" w:type="dxa"/>
            <w:tcBorders/>
          </w:tcPr>
          <w:p>
            <w:pPr>
              <w:pStyle w:val="TableContents"/>
              <w:bidi w:val="0"/>
              <w:spacing w:before="0" w:after="283"/>
              <w:jc w:val="left"/>
              <w:rPr/>
            </w:pPr>
            <w:r>
              <w:rPr/>
              <w:t> </w:t>
            </w:r>
          </w:p>
        </w:tc>
      </w:tr>
      <w:tr>
        <w:trPr/>
        <w:tc>
          <w:tcPr>
            <w:tcW w:w="2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Canary(24)</w:t>
            </w:r>
          </w:p>
        </w:tc>
        <w:tc>
          <w:tcPr>
            <w:tcW w:w="130" w:type="dxa"/>
            <w:tcBorders/>
            <w:shd w:fill="CCEEFF" w:val="clear"/>
            <w:vAlign w:val="bottom"/>
          </w:tcPr>
          <w:p>
            <w:pPr>
              <w:pStyle w:val="TableContents"/>
              <w:bidi w:val="0"/>
              <w:spacing w:before="0" w:after="283"/>
              <w:jc w:val="left"/>
              <w:rPr/>
            </w:pPr>
            <w:r>
              <w:rPr/>
              <w:t>  </w:t>
            </w:r>
          </w:p>
        </w:tc>
        <w:tc>
          <w:tcPr>
            <w:tcW w:w="875" w:type="dxa"/>
            <w:tcBorders/>
            <w:shd w:fill="CCEEFF" w:val="clear"/>
          </w:tcPr>
          <w:p>
            <w:pPr>
              <w:pStyle w:val="TableContents"/>
              <w:bidi w:val="0"/>
              <w:spacing w:before="0" w:after="283"/>
              <w:jc w:val="center"/>
              <w:rPr/>
            </w:pPr>
            <w:r>
              <w:rPr/>
              <w:t>Capesize</w:t>
            </w:r>
          </w:p>
        </w:tc>
        <w:tc>
          <w:tcPr>
            <w:tcW w:w="130" w:type="dxa"/>
            <w:tcBorders/>
            <w:shd w:fill="CCEEFF" w:val="clear"/>
            <w:vAlign w:val="bottom"/>
          </w:tcPr>
          <w:p>
            <w:pPr>
              <w:pStyle w:val="TableContents"/>
              <w:bidi w:val="0"/>
              <w:spacing w:before="0" w:after="283"/>
              <w:jc w:val="left"/>
              <w:rPr/>
            </w:pPr>
            <w:r>
              <w:rPr/>
              <w:t>  </w:t>
            </w:r>
          </w:p>
        </w:tc>
        <w:tc>
          <w:tcPr>
            <w:tcW w:w="504" w:type="dxa"/>
            <w:tcBorders/>
            <w:shd w:fill="CCEEFF" w:val="clear"/>
          </w:tcPr>
          <w:p>
            <w:pPr>
              <w:pStyle w:val="TableContents"/>
              <w:bidi w:val="0"/>
              <w:spacing w:before="0" w:after="283"/>
              <w:jc w:val="center"/>
              <w:rPr/>
            </w:pPr>
            <w:r>
              <w:rPr/>
              <w:t>2015</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4" w:type="dxa"/>
            <w:tcBorders/>
            <w:shd w:fill="CCEEFF" w:val="clear"/>
          </w:tcPr>
          <w:p>
            <w:pPr>
              <w:pStyle w:val="TableContents"/>
              <w:bidi w:val="0"/>
              <w:spacing w:before="0" w:after="283"/>
              <w:jc w:val="right"/>
              <w:rPr/>
            </w:pPr>
            <w:r>
              <w:rPr/>
              <w:t>180,528</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790" w:type="dxa"/>
            <w:tcBorders/>
            <w:shd w:fill="CCEEFF" w:val="clear"/>
          </w:tcPr>
          <w:p>
            <w:pPr>
              <w:pStyle w:val="TableContents"/>
              <w:bidi w:val="0"/>
              <w:spacing w:before="0" w:after="283"/>
              <w:jc w:val="right"/>
              <w:rPr/>
            </w:pPr>
            <w:r>
              <w:rPr/>
              <w:t>24,819</w:t>
            </w:r>
          </w:p>
        </w:tc>
        <w:tc>
          <w:tcPr>
            <w:tcW w:w="60" w:type="dxa"/>
            <w:tcBorders/>
            <w:shd w:fill="CCEEFF" w:val="clear"/>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507" w:type="dxa"/>
            <w:tcBorders/>
            <w:shd w:fill="CCEEFF" w:val="clear"/>
          </w:tcPr>
          <w:p>
            <w:pPr>
              <w:pStyle w:val="TableContents"/>
              <w:bidi w:val="0"/>
              <w:spacing w:before="0" w:after="283"/>
              <w:jc w:val="center"/>
              <w:rPr/>
            </w:pPr>
            <w:r>
              <w:rPr/>
              <w:t>No</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4" w:type="dxa"/>
            <w:tcBorders/>
            <w:shd w:fill="CCEEFF" w:val="clear"/>
          </w:tcPr>
          <w:p>
            <w:pPr>
              <w:pStyle w:val="TableContents"/>
              <w:bidi w:val="0"/>
              <w:spacing w:before="0" w:after="283"/>
              <w:jc w:val="right"/>
              <w:rPr/>
            </w:pPr>
            <w:r>
              <w:rPr/>
              <w:t>Dec-23</w:t>
            </w:r>
          </w:p>
        </w:tc>
        <w:tc>
          <w:tcPr>
            <w:tcW w:w="68" w:type="dxa"/>
            <w:tcBorders/>
            <w:shd w:fill="CCEEFF" w:val="clear"/>
          </w:tcPr>
          <w:p>
            <w:pPr>
              <w:pStyle w:val="TableContents"/>
              <w:bidi w:val="0"/>
              <w:spacing w:before="0" w:after="283"/>
              <w:jc w:val="left"/>
              <w:rPr/>
            </w:pPr>
            <w:r>
              <w:rPr/>
              <w:t> </w:t>
            </w:r>
          </w:p>
        </w:tc>
      </w:tr>
      <w:tr>
        <w:trPr/>
        <w:tc>
          <w:tcPr>
            <w:tcW w:w="2904" w:type="dxa"/>
            <w:tcBorders/>
          </w:tcPr>
          <w:p>
            <w:pPr>
              <w:pStyle w:val="TableContents"/>
              <w:bidi w:val="0"/>
              <w:spacing w:before="0" w:after="0"/>
              <w:jc w:val="left"/>
              <w:rPr>
                <w:rFonts w:ascii="Times New Roman" w:hAnsi="Times New Roman"/>
                <w:sz w:val="20"/>
              </w:rPr>
            </w:pPr>
            <w:r>
              <w:rPr>
                <w:rFonts w:ascii="Times New Roman" w:hAnsi="Times New Roman"/>
                <w:sz w:val="20"/>
              </w:rPr>
              <w:t>Navios Corali(24)</w:t>
            </w:r>
          </w:p>
        </w:tc>
        <w:tc>
          <w:tcPr>
            <w:tcW w:w="130"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Capesize</w:t>
            </w:r>
          </w:p>
        </w:tc>
        <w:tc>
          <w:tcPr>
            <w:tcW w:w="130" w:type="dxa"/>
            <w:tcBorders/>
            <w:vAlign w:val="bottom"/>
          </w:tcPr>
          <w:p>
            <w:pPr>
              <w:pStyle w:val="TableContents"/>
              <w:bidi w:val="0"/>
              <w:spacing w:before="0" w:after="283"/>
              <w:jc w:val="left"/>
              <w:rPr/>
            </w:pPr>
            <w:r>
              <w:rPr/>
              <w:t>  </w:t>
            </w:r>
          </w:p>
        </w:tc>
        <w:tc>
          <w:tcPr>
            <w:tcW w:w="504" w:type="dxa"/>
            <w:tcBorders/>
          </w:tcPr>
          <w:p>
            <w:pPr>
              <w:pStyle w:val="TableContents"/>
              <w:bidi w:val="0"/>
              <w:spacing w:before="0" w:after="283"/>
              <w:jc w:val="center"/>
              <w:rPr/>
            </w:pPr>
            <w:r>
              <w:rPr/>
              <w:t>2015</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4" w:type="dxa"/>
            <w:tcBorders/>
          </w:tcPr>
          <w:p>
            <w:pPr>
              <w:pStyle w:val="TableContents"/>
              <w:bidi w:val="0"/>
              <w:spacing w:before="0" w:after="283"/>
              <w:jc w:val="right"/>
              <w:rPr/>
            </w:pPr>
            <w:r>
              <w:rPr/>
              <w:t>181,249</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790" w:type="dxa"/>
            <w:tcBorders/>
          </w:tcPr>
          <w:p>
            <w:pPr>
              <w:pStyle w:val="TableContents"/>
              <w:bidi w:val="0"/>
              <w:spacing w:before="0" w:after="283"/>
              <w:jc w:val="right"/>
              <w:rPr/>
            </w:pPr>
            <w:r>
              <w:rPr/>
              <w:t>25,201</w:t>
            </w:r>
          </w:p>
        </w:tc>
        <w:tc>
          <w:tcPr>
            <w:tcW w:w="60"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507" w:type="dxa"/>
            <w:tcBorders/>
          </w:tcPr>
          <w:p>
            <w:pPr>
              <w:pStyle w:val="TableContents"/>
              <w:bidi w:val="0"/>
              <w:spacing w:before="0" w:after="283"/>
              <w:jc w:val="center"/>
              <w:rPr/>
            </w:pPr>
            <w:r>
              <w:rPr/>
              <w:t>No</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4" w:type="dxa"/>
            <w:tcBorders/>
          </w:tcPr>
          <w:p>
            <w:pPr>
              <w:pStyle w:val="TableContents"/>
              <w:bidi w:val="0"/>
              <w:spacing w:before="0" w:after="283"/>
              <w:jc w:val="right"/>
              <w:rPr/>
            </w:pPr>
            <w:r>
              <w:rPr/>
              <w:t>Oct-23</w:t>
            </w:r>
          </w:p>
        </w:tc>
        <w:tc>
          <w:tcPr>
            <w:tcW w:w="68" w:type="dxa"/>
            <w:tcBorders/>
          </w:tcPr>
          <w:p>
            <w:pPr>
              <w:pStyle w:val="TableContents"/>
              <w:bidi w:val="0"/>
              <w:spacing w:before="0" w:after="283"/>
              <w:jc w:val="left"/>
              <w:rPr/>
            </w:pPr>
            <w:r>
              <w:rPr/>
              <w:t> </w:t>
            </w:r>
          </w:p>
        </w:tc>
      </w:tr>
      <w:tr>
        <w:trPr/>
        <w:tc>
          <w:tcPr>
            <w:tcW w:w="2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Felix(24)</w:t>
            </w:r>
          </w:p>
        </w:tc>
        <w:tc>
          <w:tcPr>
            <w:tcW w:w="130" w:type="dxa"/>
            <w:tcBorders/>
            <w:shd w:fill="CCEEFF" w:val="clear"/>
            <w:vAlign w:val="bottom"/>
          </w:tcPr>
          <w:p>
            <w:pPr>
              <w:pStyle w:val="TableContents"/>
              <w:bidi w:val="0"/>
              <w:spacing w:before="0" w:after="283"/>
              <w:jc w:val="left"/>
              <w:rPr/>
            </w:pPr>
            <w:r>
              <w:rPr/>
              <w:t>  </w:t>
            </w:r>
          </w:p>
        </w:tc>
        <w:tc>
          <w:tcPr>
            <w:tcW w:w="875" w:type="dxa"/>
            <w:tcBorders/>
            <w:shd w:fill="CCEEFF" w:val="clear"/>
          </w:tcPr>
          <w:p>
            <w:pPr>
              <w:pStyle w:val="TableContents"/>
              <w:bidi w:val="0"/>
              <w:spacing w:before="0" w:after="283"/>
              <w:jc w:val="center"/>
              <w:rPr/>
            </w:pPr>
            <w:r>
              <w:rPr/>
              <w:t>Capesize</w:t>
            </w:r>
          </w:p>
        </w:tc>
        <w:tc>
          <w:tcPr>
            <w:tcW w:w="130" w:type="dxa"/>
            <w:tcBorders/>
            <w:shd w:fill="CCEEFF" w:val="clear"/>
            <w:vAlign w:val="bottom"/>
          </w:tcPr>
          <w:p>
            <w:pPr>
              <w:pStyle w:val="TableContents"/>
              <w:bidi w:val="0"/>
              <w:spacing w:before="0" w:after="283"/>
              <w:jc w:val="left"/>
              <w:rPr/>
            </w:pPr>
            <w:r>
              <w:rPr/>
              <w:t>  </w:t>
            </w:r>
          </w:p>
        </w:tc>
        <w:tc>
          <w:tcPr>
            <w:tcW w:w="504" w:type="dxa"/>
            <w:tcBorders/>
            <w:shd w:fill="CCEEFF" w:val="clear"/>
          </w:tcPr>
          <w:p>
            <w:pPr>
              <w:pStyle w:val="TableContents"/>
              <w:bidi w:val="0"/>
              <w:spacing w:before="0" w:after="283"/>
              <w:jc w:val="center"/>
              <w:rPr/>
            </w:pPr>
            <w:r>
              <w:rPr/>
              <w:t>2016</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4" w:type="dxa"/>
            <w:tcBorders/>
            <w:shd w:fill="CCEEFF" w:val="clear"/>
          </w:tcPr>
          <w:p>
            <w:pPr>
              <w:pStyle w:val="TableContents"/>
              <w:bidi w:val="0"/>
              <w:spacing w:before="0" w:after="283"/>
              <w:jc w:val="right"/>
              <w:rPr/>
            </w:pPr>
            <w:r>
              <w:rPr/>
              <w:t>181,221</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br/>
              <w:t> </w:t>
            </w:r>
          </w:p>
        </w:tc>
        <w:tc>
          <w:tcPr>
            <w:tcW w:w="790" w:type="dxa"/>
            <w:tcBorders/>
            <w:shd w:fill="CCEEFF" w:val="clear"/>
          </w:tcPr>
          <w:p>
            <w:pPr>
              <w:pStyle w:val="TableContents"/>
              <w:bidi w:val="0"/>
              <w:spacing w:before="0" w:after="283"/>
              <w:jc w:val="right"/>
              <w:rPr/>
            </w:pPr>
            <w:r>
              <w:rPr/>
              <w:t>21,850</w:t>
              <w:br/>
              <w:t>  </w:t>
            </w:r>
          </w:p>
        </w:tc>
        <w:tc>
          <w:tcPr>
            <w:tcW w:w="60" w:type="dxa"/>
            <w:tcBorders/>
            <w:shd w:fill="CCEEFF" w:val="clear"/>
          </w:tcPr>
          <w:p>
            <w:pPr>
              <w:pStyle w:val="TableContents"/>
              <w:bidi w:val="0"/>
              <w:spacing w:before="0" w:after="283"/>
              <w:jc w:val="left"/>
              <w:rPr/>
            </w:pPr>
            <w:r>
              <w:rPr/>
              <w:t> </w:t>
            </w:r>
            <w:r>
              <w:rPr/>
              <w:br/>
              <w:t> </w:t>
            </w:r>
          </w:p>
        </w:tc>
        <w:tc>
          <w:tcPr>
            <w:tcW w:w="129" w:type="dxa"/>
            <w:tcBorders/>
            <w:shd w:fill="CCEEFF" w:val="clear"/>
            <w:vAlign w:val="bottom"/>
          </w:tcPr>
          <w:p>
            <w:pPr>
              <w:pStyle w:val="TableContents"/>
              <w:bidi w:val="0"/>
              <w:spacing w:before="0" w:after="283"/>
              <w:jc w:val="left"/>
              <w:rPr/>
            </w:pPr>
            <w:r>
              <w:rPr/>
              <w:t>  </w:t>
            </w:r>
          </w:p>
        </w:tc>
        <w:tc>
          <w:tcPr>
            <w:tcW w:w="2507"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20"/>
              <w:jc w:val="center"/>
              <w:rPr>
                <w:rFonts w:ascii="Times New Roman" w:hAnsi="Times New Roman"/>
                <w:sz w:val="20"/>
              </w:rPr>
            </w:pPr>
            <w:r>
              <w:rPr>
                <w:rFonts w:ascii="Times New Roman" w:hAnsi="Times New Roman"/>
                <w:sz w:val="20"/>
              </w:rPr>
              <w:t>100.0% average BCI 5TC + $4,085 per day</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4" w:type="dxa"/>
            <w:tcBorders/>
            <w:shd w:fill="CCEEFF" w:val="clear"/>
          </w:tcPr>
          <w:p>
            <w:pPr>
              <w:pStyle w:val="TableContents"/>
              <w:bidi w:val="0"/>
              <w:spacing w:before="0" w:after="283"/>
              <w:jc w:val="right"/>
              <w:rPr/>
            </w:pPr>
            <w:r>
              <w:rPr/>
              <w:t>Jun-23</w:t>
              <w:br/>
              <w:t>Jan-24</w:t>
            </w:r>
          </w:p>
        </w:tc>
        <w:tc>
          <w:tcPr>
            <w:tcW w:w="68" w:type="dxa"/>
            <w:tcBorders/>
            <w:shd w:fill="CCEEFF" w:val="clear"/>
          </w:tcPr>
          <w:p>
            <w:pPr>
              <w:pStyle w:val="TableContents"/>
              <w:bidi w:val="0"/>
              <w:spacing w:before="0" w:after="283"/>
              <w:jc w:val="left"/>
              <w:rPr/>
            </w:pPr>
            <w:r>
              <w:rPr/>
              <w:t> </w:t>
            </w:r>
            <w:r>
              <w:rPr/>
              <w:br/>
              <w:t> </w:t>
            </w:r>
          </w:p>
        </w:tc>
      </w:tr>
      <w:tr>
        <w:trPr/>
        <w:tc>
          <w:tcPr>
            <w:tcW w:w="2904" w:type="dxa"/>
            <w:tcBorders/>
          </w:tcPr>
          <w:p>
            <w:pPr>
              <w:pStyle w:val="TableContents"/>
              <w:bidi w:val="0"/>
              <w:spacing w:before="0" w:after="0"/>
              <w:jc w:val="left"/>
              <w:rPr>
                <w:rFonts w:ascii="Times New Roman" w:hAnsi="Times New Roman"/>
                <w:sz w:val="20"/>
              </w:rPr>
            </w:pPr>
            <w:r>
              <w:rPr>
                <w:rFonts w:ascii="Times New Roman" w:hAnsi="Times New Roman"/>
                <w:sz w:val="20"/>
              </w:rPr>
              <w:t>Navios Mars</w:t>
            </w:r>
          </w:p>
        </w:tc>
        <w:tc>
          <w:tcPr>
            <w:tcW w:w="130"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Capesize</w:t>
            </w:r>
          </w:p>
        </w:tc>
        <w:tc>
          <w:tcPr>
            <w:tcW w:w="130" w:type="dxa"/>
            <w:tcBorders/>
            <w:vAlign w:val="bottom"/>
          </w:tcPr>
          <w:p>
            <w:pPr>
              <w:pStyle w:val="TableContents"/>
              <w:bidi w:val="0"/>
              <w:spacing w:before="0" w:after="283"/>
              <w:jc w:val="left"/>
              <w:rPr/>
            </w:pPr>
            <w:r>
              <w:rPr/>
              <w:t>  </w:t>
            </w:r>
          </w:p>
        </w:tc>
        <w:tc>
          <w:tcPr>
            <w:tcW w:w="504" w:type="dxa"/>
            <w:tcBorders/>
          </w:tcPr>
          <w:p>
            <w:pPr>
              <w:pStyle w:val="TableContents"/>
              <w:bidi w:val="0"/>
              <w:spacing w:before="0" w:after="283"/>
              <w:jc w:val="center"/>
              <w:rPr/>
            </w:pPr>
            <w:r>
              <w:rPr/>
              <w:t>2016</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4" w:type="dxa"/>
            <w:tcBorders/>
          </w:tcPr>
          <w:p>
            <w:pPr>
              <w:pStyle w:val="TableContents"/>
              <w:bidi w:val="0"/>
              <w:spacing w:before="0" w:after="283"/>
              <w:jc w:val="right"/>
              <w:rPr/>
            </w:pPr>
            <w:r>
              <w:rPr/>
              <w:t>181,259</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790"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507" w:type="dxa"/>
            <w:tcBorders/>
          </w:tcPr>
          <w:p>
            <w:pPr>
              <w:pStyle w:val="TableContents"/>
              <w:bidi w:val="0"/>
              <w:spacing w:before="0" w:after="283"/>
              <w:jc w:val="center"/>
              <w:rPr/>
            </w:pPr>
            <w:r>
              <w:rPr/>
              <w:t>126.0% average BCI 5TC</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4" w:type="dxa"/>
            <w:tcBorders/>
          </w:tcPr>
          <w:p>
            <w:pPr>
              <w:pStyle w:val="TableContents"/>
              <w:bidi w:val="0"/>
              <w:spacing w:before="0" w:after="283"/>
              <w:jc w:val="right"/>
              <w:rPr/>
            </w:pPr>
            <w:r>
              <w:rPr/>
              <w:t>Oct-23</w:t>
            </w:r>
          </w:p>
        </w:tc>
        <w:tc>
          <w:tcPr>
            <w:tcW w:w="68" w:type="dxa"/>
            <w:tcBorders/>
          </w:tcPr>
          <w:p>
            <w:pPr>
              <w:pStyle w:val="TableContents"/>
              <w:bidi w:val="0"/>
              <w:spacing w:before="0" w:after="283"/>
              <w:jc w:val="left"/>
              <w:rPr/>
            </w:pPr>
            <w:r>
              <w:rPr/>
              <w:t> </w:t>
            </w:r>
          </w:p>
        </w:tc>
      </w:tr>
      <w:tr>
        <w:trPr/>
        <w:tc>
          <w:tcPr>
            <w:tcW w:w="2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Armonia(6)</w:t>
            </w:r>
          </w:p>
        </w:tc>
        <w:tc>
          <w:tcPr>
            <w:tcW w:w="130" w:type="dxa"/>
            <w:tcBorders/>
            <w:shd w:fill="CCEEFF" w:val="clear"/>
            <w:vAlign w:val="bottom"/>
          </w:tcPr>
          <w:p>
            <w:pPr>
              <w:pStyle w:val="TableContents"/>
              <w:bidi w:val="0"/>
              <w:spacing w:before="0" w:after="283"/>
              <w:jc w:val="left"/>
              <w:rPr/>
            </w:pPr>
            <w:r>
              <w:rPr/>
              <w:t>  </w:t>
            </w:r>
          </w:p>
        </w:tc>
        <w:tc>
          <w:tcPr>
            <w:tcW w:w="875" w:type="dxa"/>
            <w:tcBorders/>
            <w:shd w:fill="CCEEFF" w:val="clear"/>
          </w:tcPr>
          <w:p>
            <w:pPr>
              <w:pStyle w:val="TableContents"/>
              <w:bidi w:val="0"/>
              <w:spacing w:before="0" w:after="283"/>
              <w:jc w:val="center"/>
              <w:rPr/>
            </w:pPr>
            <w:r>
              <w:rPr/>
              <w:t>Capesize</w:t>
            </w:r>
          </w:p>
        </w:tc>
        <w:tc>
          <w:tcPr>
            <w:tcW w:w="130" w:type="dxa"/>
            <w:tcBorders/>
            <w:shd w:fill="CCEEFF" w:val="clear"/>
            <w:vAlign w:val="bottom"/>
          </w:tcPr>
          <w:p>
            <w:pPr>
              <w:pStyle w:val="TableContents"/>
              <w:bidi w:val="0"/>
              <w:spacing w:before="0" w:after="283"/>
              <w:jc w:val="left"/>
              <w:rPr/>
            </w:pPr>
            <w:r>
              <w:rPr/>
              <w:t>  </w:t>
            </w:r>
          </w:p>
        </w:tc>
        <w:tc>
          <w:tcPr>
            <w:tcW w:w="504" w:type="dxa"/>
            <w:tcBorders/>
            <w:shd w:fill="CCEEFF" w:val="clear"/>
          </w:tcPr>
          <w:p>
            <w:pPr>
              <w:pStyle w:val="TableContents"/>
              <w:bidi w:val="0"/>
              <w:spacing w:before="0" w:after="283"/>
              <w:jc w:val="center"/>
              <w:rPr/>
            </w:pPr>
            <w:r>
              <w:rPr/>
              <w:t>2022</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4" w:type="dxa"/>
            <w:tcBorders/>
            <w:shd w:fill="CCEEFF" w:val="clear"/>
          </w:tcPr>
          <w:p>
            <w:pPr>
              <w:pStyle w:val="TableContents"/>
              <w:bidi w:val="0"/>
              <w:spacing w:before="0" w:after="283"/>
              <w:jc w:val="right"/>
              <w:rPr/>
            </w:pPr>
            <w:r>
              <w:rPr/>
              <w:t>182,079</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790" w:type="dxa"/>
            <w:tcBorders/>
            <w:shd w:fill="CCEEFF" w:val="clear"/>
          </w:tcPr>
          <w:p>
            <w:pPr>
              <w:pStyle w:val="TableContents"/>
              <w:bidi w:val="0"/>
              <w:spacing w:before="0" w:after="283"/>
              <w:jc w:val="right"/>
              <w:rPr/>
            </w:pPr>
            <w:r>
              <w:rPr/>
              <w:t>20,750</w:t>
            </w:r>
          </w:p>
        </w:tc>
        <w:tc>
          <w:tcPr>
            <w:tcW w:w="60" w:type="dxa"/>
            <w:tcBorders/>
            <w:shd w:fill="CCEEFF" w:val="clear"/>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507" w:type="dxa"/>
            <w:tcBorders/>
            <w:shd w:fill="CCEEFF" w:val="clear"/>
          </w:tcPr>
          <w:p>
            <w:pPr>
              <w:pStyle w:val="TableContents"/>
              <w:bidi w:val="0"/>
              <w:spacing w:before="0" w:after="283"/>
              <w:jc w:val="center"/>
              <w:rPr/>
            </w:pPr>
            <w:r>
              <w:rPr/>
              <w:t>No</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4" w:type="dxa"/>
            <w:tcBorders/>
            <w:shd w:fill="CCEEFF" w:val="clear"/>
          </w:tcPr>
          <w:p>
            <w:pPr>
              <w:pStyle w:val="TableContents"/>
              <w:bidi w:val="0"/>
              <w:spacing w:before="0" w:after="283"/>
              <w:jc w:val="right"/>
              <w:rPr/>
            </w:pPr>
            <w:r>
              <w:rPr/>
              <w:t>Sep-27</w:t>
            </w:r>
          </w:p>
        </w:tc>
        <w:tc>
          <w:tcPr>
            <w:tcW w:w="68" w:type="dxa"/>
            <w:tcBorders/>
            <w:shd w:fill="CCEEFF" w:val="clear"/>
          </w:tcPr>
          <w:p>
            <w:pPr>
              <w:pStyle w:val="TableContents"/>
              <w:bidi w:val="0"/>
              <w:spacing w:before="0" w:after="283"/>
              <w:jc w:val="left"/>
              <w:rPr/>
            </w:pPr>
            <w:r>
              <w:rPr/>
              <w:t> </w:t>
            </w:r>
          </w:p>
        </w:tc>
      </w:tr>
      <w:tr>
        <w:trPr/>
        <w:tc>
          <w:tcPr>
            <w:tcW w:w="2904" w:type="dxa"/>
            <w:tcBorders/>
          </w:tcPr>
          <w:p>
            <w:pPr>
              <w:pStyle w:val="TableContents"/>
              <w:bidi w:val="0"/>
              <w:spacing w:before="0" w:after="0"/>
              <w:jc w:val="left"/>
              <w:rPr>
                <w:rFonts w:ascii="Times New Roman" w:hAnsi="Times New Roman"/>
                <w:sz w:val="20"/>
              </w:rPr>
            </w:pPr>
            <w:r>
              <w:rPr>
                <w:rFonts w:ascii="Times New Roman" w:hAnsi="Times New Roman"/>
                <w:sz w:val="20"/>
              </w:rPr>
              <w:t>Navios Azalea(6)</w:t>
            </w:r>
          </w:p>
        </w:tc>
        <w:tc>
          <w:tcPr>
            <w:tcW w:w="130"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Capesize</w:t>
            </w:r>
          </w:p>
        </w:tc>
        <w:tc>
          <w:tcPr>
            <w:tcW w:w="130" w:type="dxa"/>
            <w:tcBorders/>
            <w:vAlign w:val="bottom"/>
          </w:tcPr>
          <w:p>
            <w:pPr>
              <w:pStyle w:val="TableContents"/>
              <w:bidi w:val="0"/>
              <w:spacing w:before="0" w:after="283"/>
              <w:jc w:val="left"/>
              <w:rPr/>
            </w:pPr>
            <w:r>
              <w:rPr/>
              <w:t>  </w:t>
            </w:r>
          </w:p>
        </w:tc>
        <w:tc>
          <w:tcPr>
            <w:tcW w:w="504" w:type="dxa"/>
            <w:tcBorders/>
          </w:tcPr>
          <w:p>
            <w:pPr>
              <w:pStyle w:val="TableContents"/>
              <w:bidi w:val="0"/>
              <w:spacing w:before="0" w:after="283"/>
              <w:jc w:val="center"/>
              <w:rPr/>
            </w:pPr>
            <w:r>
              <w:rPr/>
              <w:t>2022</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4" w:type="dxa"/>
            <w:tcBorders/>
          </w:tcPr>
          <w:p>
            <w:pPr>
              <w:pStyle w:val="TableContents"/>
              <w:bidi w:val="0"/>
              <w:spacing w:before="0" w:after="283"/>
              <w:jc w:val="right"/>
              <w:rPr/>
            </w:pPr>
            <w:r>
              <w:rPr/>
              <w:t>182,064</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790" w:type="dxa"/>
            <w:tcBorders/>
          </w:tcPr>
          <w:p>
            <w:pPr>
              <w:pStyle w:val="TableContents"/>
              <w:bidi w:val="0"/>
              <w:spacing w:before="0" w:after="283"/>
              <w:jc w:val="right"/>
              <w:rPr/>
            </w:pPr>
            <w:r>
              <w:rPr/>
              <w:t>19,950</w:t>
            </w:r>
          </w:p>
        </w:tc>
        <w:tc>
          <w:tcPr>
            <w:tcW w:w="60"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507" w:type="dxa"/>
            <w:tcBorders/>
          </w:tcPr>
          <w:p>
            <w:pPr>
              <w:pStyle w:val="TableContents"/>
              <w:bidi w:val="0"/>
              <w:spacing w:before="0" w:after="283"/>
              <w:jc w:val="center"/>
              <w:rPr/>
            </w:pPr>
            <w:r>
              <w:rPr/>
              <w:t>No</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4" w:type="dxa"/>
            <w:tcBorders/>
          </w:tcPr>
          <w:p>
            <w:pPr>
              <w:pStyle w:val="TableContents"/>
              <w:bidi w:val="0"/>
              <w:spacing w:before="0" w:after="283"/>
              <w:jc w:val="right"/>
              <w:rPr/>
            </w:pPr>
            <w:r>
              <w:rPr/>
              <w:t>Nov-27</w:t>
            </w:r>
          </w:p>
        </w:tc>
        <w:tc>
          <w:tcPr>
            <w:tcW w:w="68" w:type="dxa"/>
            <w:tcBorders/>
          </w:tcPr>
          <w:p>
            <w:pPr>
              <w:pStyle w:val="TableContents"/>
              <w:bidi w:val="0"/>
              <w:spacing w:before="0" w:after="283"/>
              <w:jc w:val="left"/>
              <w:rPr/>
            </w:pPr>
            <w:r>
              <w:rPr/>
              <w:t> </w:t>
            </w:r>
          </w:p>
        </w:tc>
      </w:tr>
      <w:tr>
        <w:trPr/>
        <w:tc>
          <w:tcPr>
            <w:tcW w:w="2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Astra(25)</w:t>
            </w:r>
          </w:p>
        </w:tc>
        <w:tc>
          <w:tcPr>
            <w:tcW w:w="130" w:type="dxa"/>
            <w:tcBorders/>
            <w:shd w:fill="CCEEFF" w:val="clear"/>
            <w:vAlign w:val="bottom"/>
          </w:tcPr>
          <w:p>
            <w:pPr>
              <w:pStyle w:val="TableContents"/>
              <w:bidi w:val="0"/>
              <w:spacing w:before="0" w:after="283"/>
              <w:jc w:val="left"/>
              <w:rPr/>
            </w:pPr>
            <w:r>
              <w:rPr/>
              <w:t>  </w:t>
            </w:r>
          </w:p>
        </w:tc>
        <w:tc>
          <w:tcPr>
            <w:tcW w:w="875" w:type="dxa"/>
            <w:tcBorders/>
            <w:shd w:fill="CCEEFF" w:val="clear"/>
          </w:tcPr>
          <w:p>
            <w:pPr>
              <w:pStyle w:val="TableContents"/>
              <w:bidi w:val="0"/>
              <w:spacing w:before="0" w:after="283"/>
              <w:jc w:val="center"/>
              <w:rPr/>
            </w:pPr>
            <w:r>
              <w:rPr/>
              <w:t>Capesize</w:t>
            </w:r>
          </w:p>
        </w:tc>
        <w:tc>
          <w:tcPr>
            <w:tcW w:w="130" w:type="dxa"/>
            <w:tcBorders/>
            <w:shd w:fill="CCEEFF" w:val="clear"/>
            <w:vAlign w:val="bottom"/>
          </w:tcPr>
          <w:p>
            <w:pPr>
              <w:pStyle w:val="TableContents"/>
              <w:bidi w:val="0"/>
              <w:spacing w:before="0" w:after="283"/>
              <w:jc w:val="left"/>
              <w:rPr/>
            </w:pPr>
            <w:r>
              <w:rPr/>
              <w:t>  </w:t>
            </w:r>
          </w:p>
        </w:tc>
        <w:tc>
          <w:tcPr>
            <w:tcW w:w="504" w:type="dxa"/>
            <w:tcBorders/>
            <w:shd w:fill="CCEEFF" w:val="clear"/>
          </w:tcPr>
          <w:p>
            <w:pPr>
              <w:pStyle w:val="TableContents"/>
              <w:bidi w:val="0"/>
              <w:spacing w:before="0" w:after="283"/>
              <w:jc w:val="center"/>
              <w:rPr/>
            </w:pPr>
            <w:r>
              <w:rPr/>
              <w:t>2022</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4" w:type="dxa"/>
            <w:tcBorders/>
            <w:shd w:fill="CCEEFF" w:val="clear"/>
          </w:tcPr>
          <w:p>
            <w:pPr>
              <w:pStyle w:val="TableContents"/>
              <w:bidi w:val="0"/>
              <w:spacing w:before="0" w:after="283"/>
              <w:jc w:val="right"/>
              <w:rPr/>
            </w:pPr>
            <w:r>
              <w:rPr/>
              <w:t>182,392</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790" w:type="dxa"/>
            <w:tcBorders/>
            <w:shd w:fill="CCEEFF" w:val="clear"/>
          </w:tcPr>
          <w:p>
            <w:pPr>
              <w:pStyle w:val="TableContents"/>
              <w:bidi w:val="0"/>
              <w:spacing w:before="0" w:after="283"/>
              <w:jc w:val="right"/>
              <w:rPr/>
            </w:pPr>
            <w:r>
              <w:rPr/>
              <w:t>21,000</w:t>
            </w:r>
          </w:p>
        </w:tc>
        <w:tc>
          <w:tcPr>
            <w:tcW w:w="60" w:type="dxa"/>
            <w:tcBorders/>
            <w:shd w:fill="CCEEFF" w:val="clear"/>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507" w:type="dxa"/>
            <w:tcBorders/>
            <w:shd w:fill="CCEEFF" w:val="clear"/>
          </w:tcPr>
          <w:p>
            <w:pPr>
              <w:pStyle w:val="TableContents"/>
              <w:bidi w:val="0"/>
              <w:spacing w:before="0" w:after="283"/>
              <w:jc w:val="center"/>
              <w:rPr/>
            </w:pPr>
            <w:r>
              <w:rPr/>
              <w:t>No</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4" w:type="dxa"/>
            <w:tcBorders/>
            <w:shd w:fill="CCEEFF" w:val="clear"/>
          </w:tcPr>
          <w:p>
            <w:pPr>
              <w:pStyle w:val="TableContents"/>
              <w:bidi w:val="0"/>
              <w:spacing w:before="0" w:after="283"/>
              <w:jc w:val="right"/>
              <w:rPr/>
            </w:pPr>
            <w:r>
              <w:rPr/>
              <w:t>Sep-27</w:t>
            </w:r>
          </w:p>
        </w:tc>
        <w:tc>
          <w:tcPr>
            <w:tcW w:w="68" w:type="dxa"/>
            <w:tcBorders/>
            <w:shd w:fill="CCEEFF" w:val="clear"/>
          </w:tcPr>
          <w:p>
            <w:pPr>
              <w:pStyle w:val="TableContents"/>
              <w:bidi w:val="0"/>
              <w:spacing w:before="0" w:after="283"/>
              <w:jc w:val="left"/>
              <w:rPr/>
            </w:pPr>
            <w:r>
              <w:rPr/>
              <w:t> </w:t>
            </w:r>
          </w:p>
        </w:tc>
      </w:tr>
      <w:tr>
        <w:trPr/>
        <w:tc>
          <w:tcPr>
            <w:tcW w:w="2904" w:type="dxa"/>
            <w:tcBorders/>
          </w:tcPr>
          <w:p>
            <w:pPr>
              <w:pStyle w:val="TableContents"/>
              <w:bidi w:val="0"/>
              <w:spacing w:before="0" w:after="0"/>
              <w:jc w:val="left"/>
              <w:rPr>
                <w:rFonts w:ascii="Times New Roman" w:hAnsi="Times New Roman"/>
                <w:sz w:val="20"/>
              </w:rPr>
            </w:pPr>
            <w:r>
              <w:rPr>
                <w:rFonts w:ascii="Times New Roman" w:hAnsi="Times New Roman"/>
                <w:sz w:val="20"/>
              </w:rPr>
              <w:t>Navios Altair(6)</w:t>
            </w:r>
          </w:p>
        </w:tc>
        <w:tc>
          <w:tcPr>
            <w:tcW w:w="130"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Capesize</w:t>
            </w:r>
          </w:p>
        </w:tc>
        <w:tc>
          <w:tcPr>
            <w:tcW w:w="130" w:type="dxa"/>
            <w:tcBorders/>
            <w:vAlign w:val="bottom"/>
          </w:tcPr>
          <w:p>
            <w:pPr>
              <w:pStyle w:val="TableContents"/>
              <w:bidi w:val="0"/>
              <w:spacing w:before="0" w:after="283"/>
              <w:jc w:val="left"/>
              <w:rPr/>
            </w:pPr>
            <w:r>
              <w:rPr/>
              <w:t>  </w:t>
            </w:r>
          </w:p>
        </w:tc>
        <w:tc>
          <w:tcPr>
            <w:tcW w:w="504" w:type="dxa"/>
            <w:tcBorders/>
          </w:tcPr>
          <w:p>
            <w:pPr>
              <w:pStyle w:val="TableContents"/>
              <w:bidi w:val="0"/>
              <w:spacing w:before="0" w:after="283"/>
              <w:jc w:val="center"/>
              <w:rPr/>
            </w:pPr>
            <w:r>
              <w:rPr/>
              <w:t>2023</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4" w:type="dxa"/>
            <w:tcBorders/>
          </w:tcPr>
          <w:p>
            <w:pPr>
              <w:pStyle w:val="TableContents"/>
              <w:bidi w:val="0"/>
              <w:spacing w:before="0" w:after="283"/>
              <w:jc w:val="right"/>
              <w:rPr/>
            </w:pPr>
            <w:r>
              <w:rPr/>
              <w:t>182,115</w:t>
            </w:r>
          </w:p>
        </w:tc>
        <w:tc>
          <w:tcPr>
            <w:tcW w:w="60"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790" w:type="dxa"/>
            <w:tcBorders/>
          </w:tcPr>
          <w:p>
            <w:pPr>
              <w:pStyle w:val="TableContents"/>
              <w:bidi w:val="0"/>
              <w:spacing w:before="0" w:after="283"/>
              <w:jc w:val="right"/>
              <w:rPr/>
            </w:pPr>
            <w:r>
              <w:rPr/>
              <w:t>19,600</w:t>
            </w:r>
          </w:p>
        </w:tc>
        <w:tc>
          <w:tcPr>
            <w:tcW w:w="60"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507" w:type="dxa"/>
            <w:tcBorders/>
          </w:tcPr>
          <w:p>
            <w:pPr>
              <w:pStyle w:val="TableContents"/>
              <w:bidi w:val="0"/>
              <w:spacing w:before="0" w:after="283"/>
              <w:jc w:val="center"/>
              <w:rPr/>
            </w:pPr>
            <w:r>
              <w:rPr/>
              <w:t>No</w:t>
            </w:r>
          </w:p>
        </w:tc>
        <w:tc>
          <w:tcPr>
            <w:tcW w:w="13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4" w:type="dxa"/>
            <w:tcBorders/>
          </w:tcPr>
          <w:p>
            <w:pPr>
              <w:pStyle w:val="TableContents"/>
              <w:bidi w:val="0"/>
              <w:spacing w:before="0" w:after="283"/>
              <w:jc w:val="right"/>
              <w:rPr/>
            </w:pPr>
            <w:r>
              <w:rPr/>
              <w:t>Nov-27</w:t>
            </w:r>
          </w:p>
        </w:tc>
        <w:tc>
          <w:tcPr>
            <w:tcW w:w="68" w:type="dxa"/>
            <w:tcBorders/>
          </w:tcPr>
          <w:p>
            <w:pPr>
              <w:pStyle w:val="TableContents"/>
              <w:bidi w:val="0"/>
              <w:spacing w:before="0" w:after="283"/>
              <w:jc w:val="left"/>
              <w:rPr/>
            </w:pPr>
            <w:r>
              <w:rPr/>
              <w:t> </w:t>
            </w:r>
          </w:p>
        </w:tc>
      </w:tr>
      <w:tr>
        <w:trPr/>
        <w:tc>
          <w:tcPr>
            <w:tcW w:w="2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Sakura(6)</w:t>
            </w:r>
          </w:p>
        </w:tc>
        <w:tc>
          <w:tcPr>
            <w:tcW w:w="130" w:type="dxa"/>
            <w:tcBorders/>
            <w:shd w:fill="CCEEFF" w:val="clear"/>
            <w:vAlign w:val="bottom"/>
          </w:tcPr>
          <w:p>
            <w:pPr>
              <w:pStyle w:val="TableContents"/>
              <w:bidi w:val="0"/>
              <w:spacing w:before="0" w:after="283"/>
              <w:jc w:val="left"/>
              <w:rPr/>
            </w:pPr>
            <w:r>
              <w:rPr/>
              <w:t>  </w:t>
            </w:r>
          </w:p>
        </w:tc>
        <w:tc>
          <w:tcPr>
            <w:tcW w:w="875" w:type="dxa"/>
            <w:tcBorders/>
            <w:shd w:fill="CCEEFF" w:val="clear"/>
          </w:tcPr>
          <w:p>
            <w:pPr>
              <w:pStyle w:val="TableContents"/>
              <w:bidi w:val="0"/>
              <w:spacing w:before="0" w:after="283"/>
              <w:jc w:val="center"/>
              <w:rPr/>
            </w:pPr>
            <w:r>
              <w:rPr/>
              <w:t>Capesize</w:t>
            </w:r>
          </w:p>
        </w:tc>
        <w:tc>
          <w:tcPr>
            <w:tcW w:w="130" w:type="dxa"/>
            <w:tcBorders/>
            <w:shd w:fill="CCEEFF" w:val="clear"/>
            <w:vAlign w:val="bottom"/>
          </w:tcPr>
          <w:p>
            <w:pPr>
              <w:pStyle w:val="TableContents"/>
              <w:bidi w:val="0"/>
              <w:spacing w:before="0" w:after="283"/>
              <w:jc w:val="left"/>
              <w:rPr/>
            </w:pPr>
            <w:r>
              <w:rPr/>
              <w:t>  </w:t>
            </w:r>
          </w:p>
        </w:tc>
        <w:tc>
          <w:tcPr>
            <w:tcW w:w="504" w:type="dxa"/>
            <w:tcBorders/>
            <w:shd w:fill="CCEEFF" w:val="clear"/>
          </w:tcPr>
          <w:p>
            <w:pPr>
              <w:pStyle w:val="TableContents"/>
              <w:bidi w:val="0"/>
              <w:spacing w:before="0" w:after="283"/>
              <w:jc w:val="center"/>
              <w:rPr/>
            </w:pPr>
            <w:r>
              <w:rPr/>
              <w:t>2023</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14" w:type="dxa"/>
            <w:tcBorders/>
            <w:shd w:fill="CCEEFF" w:val="clear"/>
          </w:tcPr>
          <w:p>
            <w:pPr>
              <w:pStyle w:val="TableContents"/>
              <w:bidi w:val="0"/>
              <w:spacing w:before="0" w:after="283"/>
              <w:jc w:val="right"/>
              <w:rPr/>
            </w:pPr>
            <w:r>
              <w:rPr/>
              <w:t>182,169</w:t>
            </w:r>
          </w:p>
        </w:tc>
        <w:tc>
          <w:tcPr>
            <w:tcW w:w="60" w:type="dxa"/>
            <w:tcBorders/>
            <w:shd w:fill="CCEEFF" w:val="clear"/>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790" w:type="dxa"/>
            <w:tcBorders/>
            <w:shd w:fill="CCEEFF" w:val="clear"/>
          </w:tcPr>
          <w:p>
            <w:pPr>
              <w:pStyle w:val="TableContents"/>
              <w:bidi w:val="0"/>
              <w:spacing w:before="0" w:after="283"/>
              <w:jc w:val="right"/>
              <w:rPr/>
            </w:pPr>
            <w:r>
              <w:rPr/>
              <w:t>19,550</w:t>
            </w:r>
          </w:p>
        </w:tc>
        <w:tc>
          <w:tcPr>
            <w:tcW w:w="60" w:type="dxa"/>
            <w:tcBorders/>
            <w:shd w:fill="CCEEFF" w:val="clear"/>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507" w:type="dxa"/>
            <w:tcBorders/>
            <w:shd w:fill="CCEEFF" w:val="clear"/>
          </w:tcPr>
          <w:p>
            <w:pPr>
              <w:pStyle w:val="TableContents"/>
              <w:bidi w:val="0"/>
              <w:spacing w:before="0" w:after="283"/>
              <w:jc w:val="center"/>
              <w:rPr/>
            </w:pPr>
            <w:r>
              <w:rPr/>
              <w:t>No</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4" w:type="dxa"/>
            <w:tcBorders/>
            <w:shd w:fill="CCEEFF" w:val="clear"/>
          </w:tcPr>
          <w:p>
            <w:pPr>
              <w:pStyle w:val="TableContents"/>
              <w:bidi w:val="0"/>
              <w:spacing w:before="0" w:after="283"/>
              <w:jc w:val="right"/>
              <w:rPr/>
            </w:pPr>
            <w:r>
              <w:rPr/>
              <w:t>Mar-28</w:t>
            </w:r>
          </w:p>
        </w:tc>
        <w:tc>
          <w:tcPr>
            <w:tcW w:w="68" w:type="dxa"/>
            <w:tcBorders/>
            <w:shd w:fill="CCEEFF" w:val="clea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14700" w:type="dxa"/>
        <w:jc w:val="center"/>
        <w:tblInd w:w="0" w:type="dxa"/>
        <w:tblLayout w:type="fixed"/>
        <w:tblCellMar>
          <w:top w:w="0" w:type="dxa"/>
          <w:left w:w="0" w:type="dxa"/>
          <w:bottom w:w="0" w:type="dxa"/>
          <w:right w:w="0" w:type="dxa"/>
        </w:tblCellMar>
      </w:tblPr>
      <w:tblGrid>
        <w:gridCol w:w="1655"/>
        <w:gridCol w:w="120"/>
        <w:gridCol w:w="1340"/>
        <w:gridCol w:w="120"/>
        <w:gridCol w:w="515"/>
        <w:gridCol w:w="120"/>
        <w:gridCol w:w="90"/>
        <w:gridCol w:w="845"/>
        <w:gridCol w:w="60"/>
        <w:gridCol w:w="120"/>
        <w:gridCol w:w="223"/>
        <w:gridCol w:w="1087"/>
        <w:gridCol w:w="60"/>
        <w:gridCol w:w="120"/>
        <w:gridCol w:w="485"/>
        <w:gridCol w:w="120"/>
        <w:gridCol w:w="175"/>
        <w:gridCol w:w="1555"/>
        <w:gridCol w:w="60"/>
        <w:gridCol w:w="740"/>
        <w:gridCol w:w="120"/>
        <w:gridCol w:w="1340"/>
        <w:gridCol w:w="120"/>
        <w:gridCol w:w="500"/>
        <w:gridCol w:w="120"/>
        <w:gridCol w:w="60"/>
        <w:gridCol w:w="560"/>
        <w:gridCol w:w="60"/>
        <w:gridCol w:w="120"/>
        <w:gridCol w:w="140"/>
        <w:gridCol w:w="680"/>
        <w:gridCol w:w="60"/>
        <w:gridCol w:w="120"/>
        <w:gridCol w:w="320"/>
        <w:gridCol w:w="120"/>
        <w:gridCol w:w="60"/>
        <w:gridCol w:w="530"/>
        <w:gridCol w:w="60"/>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34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50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40" w:type="dxa"/>
            <w:tcBorders/>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32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r>
      <w:tr>
        <w:trPr/>
        <w:tc>
          <w:tcPr>
            <w:tcW w:w="1655"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Owned Containerships</w:t>
            </w:r>
          </w:p>
        </w:tc>
        <w:tc>
          <w:tcPr>
            <w:tcW w:w="120" w:type="dxa"/>
            <w:vMerge w:val="restart"/>
            <w:tcBorders/>
            <w:vAlign w:val="bottom"/>
          </w:tcPr>
          <w:p>
            <w:pPr>
              <w:pStyle w:val="TableContents"/>
              <w:bidi w:val="0"/>
              <w:spacing w:before="0" w:after="283"/>
              <w:jc w:val="left"/>
              <w:rPr/>
            </w:pPr>
            <w:r>
              <w:rPr/>
              <w:t>  </w:t>
            </w:r>
          </w:p>
        </w:tc>
        <w:tc>
          <w:tcPr>
            <w:tcW w:w="1340" w:type="dxa"/>
            <w:vMerge w:val="restart"/>
            <w:tcBorders>
              <w:bottom w:val="single" w:sz="8" w:space="0" w:color="000000"/>
            </w:tcBorders>
            <w:tcMar>
              <w:bottom w:w="28" w:type="dxa"/>
            </w:tcMar>
            <w:vAlign w:val="bottom"/>
          </w:tcPr>
          <w:p>
            <w:pPr>
              <w:pStyle w:val="TableContents"/>
              <w:bidi w:val="0"/>
              <w:spacing w:before="0" w:after="283"/>
              <w:jc w:val="center"/>
              <w:rPr>
                <w:b/>
              </w:rPr>
            </w:pPr>
            <w:r>
              <w:rPr>
                <w:b/>
              </w:rPr>
              <w:t>Type</w:t>
            </w:r>
          </w:p>
        </w:tc>
        <w:tc>
          <w:tcPr>
            <w:tcW w:w="120" w:type="dxa"/>
            <w:vMerge w:val="restart"/>
            <w:tcBorders/>
            <w:vAlign w:val="bottom"/>
          </w:tcPr>
          <w:p>
            <w:pPr>
              <w:pStyle w:val="TableContents"/>
              <w:bidi w:val="0"/>
              <w:spacing w:before="0" w:after="283"/>
              <w:jc w:val="left"/>
              <w:rPr/>
            </w:pPr>
            <w:r>
              <w:rPr/>
              <w:t>  </w:t>
            </w:r>
          </w:p>
        </w:tc>
        <w:tc>
          <w:tcPr>
            <w:tcW w:w="515" w:type="dxa"/>
            <w:vMerge w:val="restart"/>
            <w:tcBorders>
              <w:bottom w:val="single" w:sz="8" w:space="0" w:color="000000"/>
            </w:tcBorders>
            <w:tcMar>
              <w:bottom w:w="28" w:type="dxa"/>
            </w:tcMar>
            <w:vAlign w:val="bottom"/>
          </w:tcPr>
          <w:p>
            <w:pPr>
              <w:pStyle w:val="TableContents"/>
              <w:bidi w:val="0"/>
              <w:spacing w:before="0" w:after="283"/>
              <w:jc w:val="center"/>
              <w:rPr>
                <w:b/>
              </w:rPr>
            </w:pPr>
            <w:r>
              <w:rPr>
                <w:b/>
              </w:rPr>
              <w:t>Built</w:t>
            </w:r>
          </w:p>
        </w:tc>
        <w:tc>
          <w:tcPr>
            <w:tcW w:w="120" w:type="dxa"/>
            <w:vMerge w:val="restart"/>
            <w:tcBorders/>
            <w:vAlign w:val="bottom"/>
          </w:tcPr>
          <w:p>
            <w:pPr>
              <w:pStyle w:val="TableContents"/>
              <w:bidi w:val="0"/>
              <w:spacing w:before="0" w:after="283"/>
              <w:jc w:val="left"/>
              <w:rPr/>
            </w:pPr>
            <w:r>
              <w:rPr/>
              <w:t>  </w:t>
            </w:r>
          </w:p>
        </w:tc>
        <w:tc>
          <w:tcPr>
            <w:tcW w:w="93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Capacity</w:t>
              <w:br/>
              <w:t>(TEU)</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31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Charter-Out</w:t>
              <w:br/>
              <w:t>Rate(1)</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485" w:type="dxa"/>
            <w:vMerge w:val="restart"/>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Index(2)</w:t>
            </w:r>
          </w:p>
        </w:tc>
        <w:tc>
          <w:tcPr>
            <w:tcW w:w="120" w:type="dxa"/>
            <w:vMerge w:val="restart"/>
            <w:tcBorders/>
            <w:vAlign w:val="bottom"/>
          </w:tcPr>
          <w:p>
            <w:pPr>
              <w:pStyle w:val="TableContents"/>
              <w:bidi w:val="0"/>
              <w:spacing w:before="0" w:after="283"/>
              <w:jc w:val="left"/>
              <w:rPr/>
            </w:pPr>
            <w:r>
              <w:rPr/>
              <w:t>  </w:t>
            </w:r>
          </w:p>
        </w:tc>
        <w:tc>
          <w:tcPr>
            <w:tcW w:w="173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Expiration Date(3)</w:t>
            </w:r>
          </w:p>
        </w:tc>
        <w:tc>
          <w:tcPr>
            <w:tcW w:w="60" w:type="dxa"/>
            <w:vMerge w:val="restart"/>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34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50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40" w:type="dxa"/>
            <w:tcBorders/>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32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r>
      <w:tr>
        <w:trPr/>
        <w:tc>
          <w:tcPr>
            <w:tcW w:w="1655" w:type="dxa"/>
            <w:vMerge w:val="continue"/>
            <w:tcBorders/>
            <w:shd w:fill="CCEEFF" w:val="clear"/>
            <w:vAlign w:val="bottom"/>
          </w:tcPr>
          <w:p>
            <w:pPr>
              <w:pStyle w:val="Normal"/>
              <w:bidi w:val="0"/>
              <w:jc w:val="left"/>
              <w:rPr/>
            </w:pPr>
            <w:r>
              <w:rPr/>
            </w:r>
          </w:p>
        </w:tc>
        <w:tc>
          <w:tcPr>
            <w:tcW w:w="120" w:type="dxa"/>
            <w:vMerge w:val="continue"/>
            <w:tcBorders/>
            <w:shd w:fill="CCEEFF" w:val="clear"/>
            <w:vAlign w:val="bottom"/>
          </w:tcPr>
          <w:p>
            <w:pPr>
              <w:pStyle w:val="Normal"/>
              <w:bidi w:val="0"/>
              <w:jc w:val="left"/>
              <w:rPr/>
            </w:pPr>
            <w:r>
              <w:rPr/>
            </w:r>
          </w:p>
        </w:tc>
        <w:tc>
          <w:tcPr>
            <w:tcW w:w="1340" w:type="dxa"/>
            <w:vMerge w:val="continue"/>
            <w:tcBorders>
              <w:bottom w:val="single" w:sz="8" w:space="0" w:color="000000"/>
            </w:tcBorders>
            <w:shd w:fill="CCEEFF" w:val="clear"/>
            <w:tcMar>
              <w:bottom w:w="28" w:type="dxa"/>
            </w:tcMar>
            <w:vAlign w:val="bottom"/>
          </w:tcPr>
          <w:p>
            <w:pPr>
              <w:pStyle w:val="Normal"/>
              <w:bidi w:val="0"/>
              <w:jc w:val="left"/>
              <w:rPr/>
            </w:pPr>
            <w:r>
              <w:rPr/>
            </w:r>
          </w:p>
        </w:tc>
        <w:tc>
          <w:tcPr>
            <w:tcW w:w="120" w:type="dxa"/>
            <w:vMerge w:val="continue"/>
            <w:tcBorders/>
            <w:shd w:fill="CCEEFF" w:val="clear"/>
            <w:vAlign w:val="bottom"/>
          </w:tcPr>
          <w:p>
            <w:pPr>
              <w:pStyle w:val="Normal"/>
              <w:bidi w:val="0"/>
              <w:jc w:val="left"/>
              <w:rPr/>
            </w:pPr>
            <w:r>
              <w:rPr/>
            </w:r>
          </w:p>
        </w:tc>
        <w:tc>
          <w:tcPr>
            <w:tcW w:w="515" w:type="dxa"/>
            <w:vMerge w:val="continue"/>
            <w:tcBorders>
              <w:bottom w:val="single" w:sz="8" w:space="0" w:color="000000"/>
            </w:tcBorders>
            <w:shd w:fill="CCEEFF" w:val="clear"/>
            <w:tcMar>
              <w:bottom w:w="28" w:type="dxa"/>
            </w:tcMar>
            <w:vAlign w:val="bottom"/>
          </w:tcPr>
          <w:p>
            <w:pPr>
              <w:pStyle w:val="Normal"/>
              <w:bidi w:val="0"/>
              <w:jc w:val="left"/>
              <w:rPr/>
            </w:pPr>
            <w:r>
              <w:rPr/>
            </w:r>
          </w:p>
        </w:tc>
        <w:tc>
          <w:tcPr>
            <w:tcW w:w="120" w:type="dxa"/>
            <w:vMerge w:val="continue"/>
            <w:tcBorders/>
            <w:shd w:fill="CCEEFF" w:val="clear"/>
            <w:vAlign w:val="bottom"/>
          </w:tcPr>
          <w:p>
            <w:pPr>
              <w:pStyle w:val="Normal"/>
              <w:bidi w:val="0"/>
              <w:jc w:val="left"/>
              <w:rPr/>
            </w:pPr>
            <w:r>
              <w:rPr/>
            </w:r>
          </w:p>
        </w:tc>
        <w:tc>
          <w:tcPr>
            <w:tcW w:w="935" w:type="dxa"/>
            <w:gridSpan w:val="2"/>
            <w:vMerge w:val="continue"/>
            <w:tcBorders>
              <w:bottom w:val="single" w:sz="8" w:space="0" w:color="000000"/>
            </w:tcBorders>
            <w:shd w:fill="CCEEFF" w:val="clear"/>
            <w:tcMar>
              <w:bottom w:w="28" w:type="dxa"/>
            </w:tcMar>
            <w:vAlign w:val="bottom"/>
          </w:tcPr>
          <w:p>
            <w:pPr>
              <w:pStyle w:val="Normal"/>
              <w:bidi w:val="0"/>
              <w:jc w:val="left"/>
              <w:rPr/>
            </w:pPr>
            <w:r>
              <w:rPr/>
            </w:r>
          </w:p>
        </w:tc>
        <w:tc>
          <w:tcPr>
            <w:tcW w:w="60" w:type="dxa"/>
            <w:vMerge w:val="continue"/>
            <w:tcBorders/>
            <w:shd w:fill="CCEEFF" w:val="clear"/>
            <w:vAlign w:val="bottom"/>
          </w:tcPr>
          <w:p>
            <w:pPr>
              <w:pStyle w:val="Normal"/>
              <w:bidi w:val="0"/>
              <w:jc w:val="left"/>
              <w:rPr/>
            </w:pPr>
            <w:r>
              <w:rPr/>
            </w:r>
          </w:p>
        </w:tc>
        <w:tc>
          <w:tcPr>
            <w:tcW w:w="120" w:type="dxa"/>
            <w:vMerge w:val="continue"/>
            <w:tcBorders>
              <w:bottom w:val="single" w:sz="8" w:space="0" w:color="000000"/>
            </w:tcBorders>
            <w:shd w:fill="CCEEFF" w:val="clear"/>
            <w:tcMar>
              <w:bottom w:w="28" w:type="dxa"/>
            </w:tcMar>
            <w:vAlign w:val="bottom"/>
          </w:tcPr>
          <w:p>
            <w:pPr>
              <w:pStyle w:val="Normal"/>
              <w:bidi w:val="0"/>
              <w:jc w:val="left"/>
              <w:rPr/>
            </w:pPr>
            <w:r>
              <w:rPr/>
            </w:r>
          </w:p>
        </w:tc>
        <w:tc>
          <w:tcPr>
            <w:tcW w:w="1310" w:type="dxa"/>
            <w:gridSpan w:val="2"/>
            <w:vMerge w:val="continue"/>
            <w:tcBorders/>
            <w:shd w:fill="CCEEFF" w:val="clear"/>
            <w:vAlign w:val="bottom"/>
          </w:tcPr>
          <w:p>
            <w:pPr>
              <w:pStyle w:val="Normal"/>
              <w:bidi w:val="0"/>
              <w:jc w:val="left"/>
              <w:rPr/>
            </w:pPr>
            <w:r>
              <w:rPr/>
            </w:r>
          </w:p>
        </w:tc>
        <w:tc>
          <w:tcPr>
            <w:tcW w:w="60" w:type="dxa"/>
            <w:vMerge w:val="continue"/>
            <w:tcBorders>
              <w:bottom w:val="single" w:sz="8" w:space="0" w:color="000000"/>
            </w:tcBorders>
            <w:shd w:fill="CCEEFF" w:val="clear"/>
            <w:tcMar>
              <w:bottom w:w="28" w:type="dxa"/>
            </w:tcMar>
            <w:vAlign w:val="bottom"/>
          </w:tcPr>
          <w:p>
            <w:pPr>
              <w:pStyle w:val="Normal"/>
              <w:bidi w:val="0"/>
              <w:jc w:val="left"/>
              <w:rPr/>
            </w:pPr>
            <w:r>
              <w:rPr/>
            </w:r>
          </w:p>
        </w:tc>
        <w:tc>
          <w:tcPr>
            <w:tcW w:w="120" w:type="dxa"/>
            <w:vMerge w:val="continue"/>
            <w:tcBorders/>
            <w:shd w:fill="CCEEFF" w:val="clear"/>
            <w:vAlign w:val="bottom"/>
          </w:tcPr>
          <w:p>
            <w:pPr>
              <w:pStyle w:val="Normal"/>
              <w:bidi w:val="0"/>
              <w:jc w:val="left"/>
              <w:rPr/>
            </w:pPr>
            <w:r>
              <w:rPr/>
            </w:r>
          </w:p>
        </w:tc>
        <w:tc>
          <w:tcPr>
            <w:tcW w:w="485" w:type="dxa"/>
            <w:vMerge w:val="continue"/>
            <w:tcBorders>
              <w:bottom w:val="single" w:sz="8" w:space="0" w:color="000000"/>
            </w:tcBorders>
            <w:shd w:fill="CCEEFF" w:val="clear"/>
            <w:tcMar>
              <w:bottom w:w="28" w:type="dxa"/>
            </w:tcMar>
            <w:vAlign w:val="bottom"/>
          </w:tcPr>
          <w:p>
            <w:pPr>
              <w:pStyle w:val="Normal"/>
              <w:bidi w:val="0"/>
              <w:jc w:val="left"/>
              <w:rPr/>
            </w:pPr>
            <w:r>
              <w:rPr/>
            </w:r>
          </w:p>
        </w:tc>
        <w:tc>
          <w:tcPr>
            <w:tcW w:w="120" w:type="dxa"/>
            <w:vMerge w:val="continue"/>
            <w:tcBorders/>
            <w:shd w:fill="CCEEFF" w:val="clear"/>
            <w:vAlign w:val="bottom"/>
          </w:tcPr>
          <w:p>
            <w:pPr>
              <w:pStyle w:val="Normal"/>
              <w:bidi w:val="0"/>
              <w:jc w:val="left"/>
              <w:rPr/>
            </w:pPr>
            <w:r>
              <w:rPr/>
            </w:r>
          </w:p>
        </w:tc>
        <w:tc>
          <w:tcPr>
            <w:tcW w:w="1730" w:type="dxa"/>
            <w:gridSpan w:val="2"/>
            <w:vMerge w:val="continue"/>
            <w:tcBorders>
              <w:bottom w:val="single" w:sz="8" w:space="0" w:color="000000"/>
            </w:tcBorders>
            <w:shd w:fill="CCEEFF" w:val="clear"/>
            <w:tcMar>
              <w:bottom w:w="28" w:type="dxa"/>
            </w:tcMar>
            <w:vAlign w:val="bottom"/>
          </w:tcPr>
          <w:p>
            <w:pPr>
              <w:pStyle w:val="Normal"/>
              <w:bidi w:val="0"/>
              <w:jc w:val="left"/>
              <w:rPr/>
            </w:pPr>
            <w:r>
              <w:rPr/>
            </w:r>
          </w:p>
        </w:tc>
        <w:tc>
          <w:tcPr>
            <w:tcW w:w="60" w:type="dxa"/>
            <w:vMerge w:val="continue"/>
            <w:tcBorders/>
            <w:shd w:fill="CCEEFF" w:val="clear"/>
            <w:vAlign w:val="bottom"/>
          </w:tcPr>
          <w:p>
            <w:pPr>
              <w:pStyle w:val="Normal"/>
              <w:bidi w:val="0"/>
              <w:jc w:val="left"/>
              <w:rPr/>
            </w:pPr>
            <w:r>
              <w:rPr/>
            </w:r>
          </w:p>
        </w:tc>
        <w:tc>
          <w:tcPr>
            <w:tcW w:w="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Summer(5)</w:t>
            </w:r>
          </w:p>
        </w:tc>
        <w:tc>
          <w:tcPr>
            <w:tcW w:w="120" w:type="dxa"/>
            <w:tcBorders/>
            <w:shd w:fill="CCEEFF" w:val="clear"/>
            <w:vAlign w:val="bottom"/>
          </w:tcPr>
          <w:p>
            <w:pPr>
              <w:pStyle w:val="TableContents"/>
              <w:bidi w:val="0"/>
              <w:spacing w:before="0" w:after="283"/>
              <w:jc w:val="left"/>
              <w:rPr/>
            </w:pPr>
            <w:r>
              <w:rPr/>
              <w:t>  </w:t>
            </w:r>
          </w:p>
        </w:tc>
        <w:tc>
          <w:tcPr>
            <w:tcW w:w="1340" w:type="dxa"/>
            <w:tcBorders/>
            <w:shd w:fill="CCEEFF" w:val="clear"/>
          </w:tcPr>
          <w:p>
            <w:pPr>
              <w:pStyle w:val="TableContents"/>
              <w:bidi w:val="0"/>
              <w:spacing w:before="0" w:after="283"/>
              <w:jc w:val="center"/>
              <w:rPr/>
            </w:pPr>
            <w:r>
              <w:rPr/>
              <w:t>Containership</w:t>
            </w:r>
          </w:p>
        </w:tc>
        <w:tc>
          <w:tcPr>
            <w:tcW w:w="120" w:type="dxa"/>
            <w:tcBorders/>
            <w:shd w:fill="CCEEFF" w:val="clear"/>
            <w:vAlign w:val="bottom"/>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center"/>
              <w:rPr/>
            </w:pPr>
            <w:r>
              <w:rPr/>
              <w:t>2006</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60" w:type="dxa"/>
            <w:tcBorders/>
            <w:shd w:fill="CCEEFF" w:val="clear"/>
          </w:tcPr>
          <w:p>
            <w:pPr>
              <w:pStyle w:val="TableContents"/>
              <w:bidi w:val="0"/>
              <w:spacing w:before="0" w:after="283"/>
              <w:jc w:val="right"/>
              <w:rPr/>
            </w:pPr>
            <w:r>
              <w:rPr/>
              <w:t>3,450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680" w:type="dxa"/>
            <w:tcBorders/>
            <w:shd w:fill="CCEEFF" w:val="clear"/>
          </w:tcPr>
          <w:p>
            <w:pPr>
              <w:pStyle w:val="TableContents"/>
              <w:bidi w:val="0"/>
              <w:jc w:val="right"/>
              <w:rPr/>
            </w:pPr>
            <w:r>
              <w:rPr/>
              <w:t>45,480</w:t>
            </w:r>
          </w:p>
          <w:p>
            <w:pPr>
              <w:pStyle w:val="TableContents"/>
              <w:bidi w:val="0"/>
              <w:spacing w:before="0" w:after="0"/>
              <w:jc w:val="right"/>
              <w:rPr/>
            </w:pPr>
            <w:r>
              <w:rPr/>
              <w:t> </w:t>
            </w:r>
            <w:r>
              <w:rPr>
                <w:rFonts w:ascii="Times New Roman" w:hAnsi="Times New Roman"/>
                <w:sz w:val="20"/>
              </w:rPr>
              <w:t>39,795</w:t>
            </w:r>
          </w:p>
          <w:p>
            <w:pPr>
              <w:pStyle w:val="TableContents"/>
              <w:bidi w:val="0"/>
              <w:spacing w:before="0" w:after="0"/>
              <w:jc w:val="right"/>
              <w:rPr>
                <w:rFonts w:ascii="Times New Roman" w:hAnsi="Times New Roman"/>
                <w:sz w:val="20"/>
              </w:rPr>
            </w:pPr>
            <w:r>
              <w:rPr>
                <w:rFonts w:ascii="Times New Roman" w:hAnsi="Times New Roman"/>
                <w:sz w:val="20"/>
              </w:rPr>
              <w:t>30,320</w:t>
            </w:r>
          </w:p>
          <w:p>
            <w:pPr>
              <w:pStyle w:val="TableContents"/>
              <w:bidi w:val="0"/>
              <w:spacing w:before="0" w:after="0"/>
              <w:jc w:val="right"/>
              <w:rPr>
                <w:rFonts w:ascii="Times New Roman" w:hAnsi="Times New Roman"/>
                <w:sz w:val="20"/>
              </w:rPr>
            </w:pPr>
            <w:r>
              <w:rPr>
                <w:rFonts w:ascii="Times New Roman" w:hAnsi="Times New Roman"/>
                <w:sz w:val="20"/>
              </w:rPr>
              <w:t>20,845</w:t>
            </w:r>
          </w:p>
          <w:p>
            <w:pPr>
              <w:pStyle w:val="TableContents"/>
              <w:bidi w:val="0"/>
              <w:spacing w:before="0" w:after="20"/>
              <w:jc w:val="right"/>
              <w:rPr>
                <w:rFonts w:ascii="Times New Roman" w:hAnsi="Times New Roman"/>
                <w:sz w:val="20"/>
              </w:rPr>
            </w:pPr>
            <w:r>
              <w:rPr>
                <w:rFonts w:ascii="Times New Roman" w:hAnsi="Times New Roman"/>
                <w:sz w:val="20"/>
              </w:rPr>
              <w:t>34,110</w:t>
            </w:r>
          </w:p>
        </w:tc>
        <w:tc>
          <w:tcPr>
            <w:tcW w:w="60" w:type="dxa"/>
            <w:tcBorders/>
            <w:shd w:fill="CCEEFF" w:val="clea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0" w:type="dxa"/>
            <w:tcBorders/>
            <w:shd w:fill="CCEEFF" w:val="clear"/>
          </w:tcPr>
          <w:p>
            <w:pPr>
              <w:pStyle w:val="TableContents"/>
              <w:bidi w:val="0"/>
              <w:spacing w:before="0" w:after="283"/>
              <w:jc w:val="center"/>
              <w:rPr/>
            </w:pPr>
            <w:r>
              <w:rPr/>
              <w:t>No</w:t>
              <w:br/>
              <w:t>No</w:t>
              <w:br/>
              <w:t>No</w:t>
              <w:br/>
              <w:t>No</w:t>
              <w:br/>
              <w:t>No</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r>
              <w:rPr/>
              <w:br/>
              <w:br/>
            </w:r>
          </w:p>
        </w:tc>
        <w:tc>
          <w:tcPr>
            <w:tcW w:w="530" w:type="dxa"/>
            <w:tcBorders/>
            <w:shd w:fill="CCEEFF" w:val="clear"/>
          </w:tcPr>
          <w:p>
            <w:pPr>
              <w:pStyle w:val="TableContents"/>
              <w:bidi w:val="0"/>
              <w:spacing w:before="0" w:after="283"/>
              <w:jc w:val="right"/>
              <w:rPr/>
            </w:pPr>
            <w:r>
              <w:rPr/>
              <w:t>May-23</w:t>
              <w:br/>
              <w:t>May-24</w:t>
              <w:br/>
              <w:t>May-25</w:t>
              <w:br/>
              <w:t>May-26</w:t>
              <w:br/>
              <w:t>Jul-26</w:t>
            </w:r>
          </w:p>
        </w:tc>
        <w:tc>
          <w:tcPr>
            <w:tcW w:w="60" w:type="dxa"/>
            <w:tcBorders/>
            <w:shd w:fill="CCEEFF" w:val="clear"/>
          </w:tcPr>
          <w:p>
            <w:pPr>
              <w:pStyle w:val="TableContents"/>
              <w:bidi w:val="0"/>
              <w:spacing w:before="0" w:after="283"/>
              <w:jc w:val="left"/>
              <w:rPr/>
            </w:pPr>
            <w:r>
              <w:rPr/>
              <w:br/>
              <w:br/>
              <w:br/>
              <w:br/>
              <w:t> </w:t>
            </w:r>
          </w:p>
        </w:tc>
      </w:tr>
      <w:tr>
        <w:trPr/>
        <w:tc>
          <w:tcPr>
            <w:tcW w:w="1655" w:type="dxa"/>
            <w:tcBorders/>
          </w:tcPr>
          <w:p>
            <w:pPr>
              <w:pStyle w:val="TableContents"/>
              <w:bidi w:val="0"/>
              <w:spacing w:before="0" w:after="0"/>
              <w:jc w:val="left"/>
              <w:rPr>
                <w:rFonts w:ascii="Times New Roman" w:hAnsi="Times New Roman"/>
                <w:sz w:val="20"/>
              </w:rPr>
            </w:pPr>
            <w:r>
              <w:rPr>
                <w:rFonts w:ascii="Times New Roman" w:hAnsi="Times New Roman"/>
                <w:sz w:val="20"/>
              </w:rPr>
              <w:t>Navios Verano(5)</w:t>
            </w:r>
          </w:p>
        </w:tc>
        <w:tc>
          <w:tcPr>
            <w:tcW w:w="120" w:type="dxa"/>
            <w:tcBorders/>
            <w:vAlign w:val="bottom"/>
          </w:tcPr>
          <w:p>
            <w:pPr>
              <w:pStyle w:val="TableContents"/>
              <w:bidi w:val="0"/>
              <w:spacing w:before="0" w:after="283"/>
              <w:jc w:val="left"/>
              <w:rPr/>
            </w:pPr>
            <w:r>
              <w:rPr/>
              <w:t>  </w:t>
            </w:r>
          </w:p>
        </w:tc>
        <w:tc>
          <w:tcPr>
            <w:tcW w:w="1340" w:type="dxa"/>
            <w:tcBorders/>
          </w:tcPr>
          <w:p>
            <w:pPr>
              <w:pStyle w:val="TableContents"/>
              <w:bidi w:val="0"/>
              <w:spacing w:before="0" w:after="283"/>
              <w:jc w:val="center"/>
              <w:rPr/>
            </w:pPr>
            <w:r>
              <w:rPr/>
              <w:t>Containership</w:t>
            </w:r>
          </w:p>
        </w:tc>
        <w:tc>
          <w:tcPr>
            <w:tcW w:w="120" w:type="dxa"/>
            <w:tcBorders/>
            <w:vAlign w:val="bottom"/>
          </w:tcPr>
          <w:p>
            <w:pPr>
              <w:pStyle w:val="TableContents"/>
              <w:bidi w:val="0"/>
              <w:spacing w:before="0" w:after="283"/>
              <w:jc w:val="left"/>
              <w:rPr/>
            </w:pPr>
            <w:r>
              <w:rPr/>
              <w:t>  </w:t>
            </w:r>
          </w:p>
        </w:tc>
        <w:tc>
          <w:tcPr>
            <w:tcW w:w="515" w:type="dxa"/>
            <w:tcBorders/>
          </w:tcPr>
          <w:p>
            <w:pPr>
              <w:pStyle w:val="TableContents"/>
              <w:bidi w:val="0"/>
              <w:spacing w:before="0" w:after="283"/>
              <w:jc w:val="center"/>
              <w:rPr/>
            </w:pPr>
            <w:r>
              <w:rPr/>
              <w:t>2006</w:t>
            </w:r>
          </w:p>
        </w:tc>
        <w:tc>
          <w:tcPr>
            <w:tcW w:w="120"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845" w:type="dxa"/>
            <w:tcBorders/>
          </w:tcPr>
          <w:p>
            <w:pPr>
              <w:pStyle w:val="TableContents"/>
              <w:bidi w:val="0"/>
              <w:spacing w:before="0" w:after="283"/>
              <w:jc w:val="right"/>
              <w:rPr/>
            </w:pPr>
            <w:r>
              <w:rPr/>
              <w:t>3,450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3" w:type="dxa"/>
            <w:tcBorders/>
          </w:tcPr>
          <w:p>
            <w:pPr>
              <w:pStyle w:val="TableContents"/>
              <w:bidi w:val="0"/>
              <w:jc w:val="left"/>
              <w:rPr/>
            </w:pPr>
            <w:r>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1087" w:type="dxa"/>
            <w:tcBorders/>
          </w:tcPr>
          <w:p>
            <w:pPr>
              <w:pStyle w:val="TableContents"/>
              <w:bidi w:val="0"/>
              <w:jc w:val="right"/>
              <w:rPr/>
            </w:pPr>
            <w:r>
              <w:rPr/>
              <w:t>22,713</w:t>
            </w:r>
          </w:p>
          <w:p>
            <w:pPr>
              <w:pStyle w:val="TableContents"/>
              <w:bidi w:val="0"/>
              <w:spacing w:before="0" w:after="20"/>
              <w:jc w:val="right"/>
              <w:rPr>
                <w:rFonts w:ascii="Times New Roman" w:hAnsi="Times New Roman"/>
                <w:sz w:val="20"/>
              </w:rPr>
            </w:pPr>
            <w:r>
              <w:rPr>
                <w:rFonts w:ascii="Times New Roman" w:hAnsi="Times New Roman"/>
                <w:sz w:val="20"/>
              </w:rPr>
              <w:t>18,818</w:t>
            </w:r>
          </w:p>
        </w:tc>
        <w:tc>
          <w:tcPr>
            <w:tcW w:w="60" w:type="dxa"/>
            <w:tcBorders/>
          </w:tcPr>
          <w:p>
            <w:pPr>
              <w:pStyle w:val="TableContents"/>
              <w:bidi w:val="0"/>
              <w:jc w:val="left"/>
              <w:rPr/>
            </w:pPr>
            <w:r>
              <w:rPr/>
              <w:t> </w:t>
            </w:r>
          </w:p>
          <w:p>
            <w:pPr>
              <w:pStyle w:val="TableContents"/>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485" w:type="dxa"/>
            <w:tcBorders/>
          </w:tcPr>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20"/>
              <w:jc w:val="center"/>
              <w:rPr>
                <w:rFonts w:ascii="Times New Roman" w:hAnsi="Times New Roman"/>
                <w:sz w:val="20"/>
              </w:rPr>
            </w:pPr>
            <w:r>
              <w:rPr>
                <w:rFonts w:ascii="Times New Roman" w:hAnsi="Times New Roman"/>
                <w:sz w:val="20"/>
              </w:rPr>
              <w:t>No</w:t>
            </w:r>
          </w:p>
        </w:tc>
        <w:tc>
          <w:tcPr>
            <w:tcW w:w="120" w:type="dxa"/>
            <w:tcBorders/>
            <w:vAlign w:val="bottom"/>
          </w:tcPr>
          <w:p>
            <w:pPr>
              <w:pStyle w:val="TableContents"/>
              <w:bidi w:val="0"/>
              <w:spacing w:before="0" w:after="283"/>
              <w:jc w:val="left"/>
              <w:rPr/>
            </w:pPr>
            <w:r>
              <w:rPr/>
              <w:t>  </w:t>
            </w:r>
          </w:p>
        </w:tc>
        <w:tc>
          <w:tcPr>
            <w:tcW w:w="175" w:type="dxa"/>
            <w:tcBorders/>
          </w:tcPr>
          <w:p>
            <w:pPr>
              <w:pStyle w:val="TableContents"/>
              <w:bidi w:val="0"/>
              <w:spacing w:before="0" w:after="283"/>
              <w:jc w:val="left"/>
              <w:rPr/>
            </w:pPr>
            <w:r>
              <w:rPr/>
              <w:t> </w:t>
            </w:r>
          </w:p>
        </w:tc>
        <w:tc>
          <w:tcPr>
            <w:tcW w:w="1555" w:type="dxa"/>
            <w:tcBorders/>
          </w:tcPr>
          <w:p>
            <w:pPr>
              <w:pStyle w:val="TableContents"/>
              <w:bidi w:val="0"/>
              <w:jc w:val="right"/>
              <w:rPr/>
            </w:pPr>
            <w:r>
              <w:rPr/>
              <w:t>May-23</w:t>
            </w:r>
          </w:p>
          <w:p>
            <w:pPr>
              <w:pStyle w:val="TableContents"/>
              <w:bidi w:val="0"/>
              <w:spacing w:before="0" w:after="20"/>
              <w:jc w:val="right"/>
              <w:rPr>
                <w:rFonts w:ascii="Times New Roman" w:hAnsi="Times New Roman"/>
                <w:sz w:val="20"/>
              </w:rPr>
            </w:pPr>
            <w:r>
              <w:rPr>
                <w:rFonts w:ascii="Times New Roman" w:hAnsi="Times New Roman"/>
                <w:sz w:val="20"/>
              </w:rPr>
              <w:t>Apr-26</w:t>
            </w:r>
          </w:p>
        </w:tc>
        <w:tc>
          <w:tcPr>
            <w:tcW w:w="60" w:type="dxa"/>
            <w:tcBorders/>
          </w:tcPr>
          <w:p>
            <w:pPr>
              <w:pStyle w:val="TableContents"/>
              <w:bidi w:val="0"/>
              <w:jc w:val="left"/>
              <w:rPr/>
            </w:pPr>
            <w:r>
              <w:rPr/>
              <w:t> </w:t>
            </w:r>
          </w:p>
          <w:p>
            <w:pPr>
              <w:pStyle w:val="TableContents"/>
              <w:bidi w:val="0"/>
              <w:spacing w:before="0" w:after="20"/>
              <w:jc w:val="left"/>
              <w:rPr/>
            </w:pPr>
            <w:r>
              <w:rPr/>
              <w:t> </w:t>
            </w:r>
          </w:p>
        </w:tc>
        <w:tc>
          <w:tcPr>
            <w:tcW w:w="5830" w:type="dxa"/>
            <w:gridSpan w:val="19"/>
            <w:tcBorders/>
          </w:tcPr>
          <w:p>
            <w:pPr>
              <w:pStyle w:val="TableContents"/>
              <w:bidi w:val="0"/>
              <w:spacing w:before="0" w:after="283"/>
              <w:jc w:val="left"/>
              <w:rPr>
                <w:sz w:val="4"/>
                <w:szCs w:val="4"/>
              </w:rPr>
            </w:pPr>
            <w:r>
              <w:rPr>
                <w:sz w:val="4"/>
                <w:szCs w:val="4"/>
              </w:rPr>
            </w:r>
          </w:p>
        </w:tc>
      </w:tr>
      <w:tr>
        <w:trPr/>
        <w:tc>
          <w:tcPr>
            <w:tcW w:w="1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Hyundai Hongkong(7)</w:t>
            </w:r>
          </w:p>
        </w:tc>
        <w:tc>
          <w:tcPr>
            <w:tcW w:w="120" w:type="dxa"/>
            <w:tcBorders/>
            <w:shd w:fill="CCEEFF" w:val="clear"/>
            <w:vAlign w:val="bottom"/>
          </w:tcPr>
          <w:p>
            <w:pPr>
              <w:pStyle w:val="TableContents"/>
              <w:bidi w:val="0"/>
              <w:spacing w:before="0" w:after="283"/>
              <w:jc w:val="left"/>
              <w:rPr/>
            </w:pPr>
            <w:r>
              <w:rPr/>
              <w:t>  </w:t>
            </w:r>
          </w:p>
        </w:tc>
        <w:tc>
          <w:tcPr>
            <w:tcW w:w="1340" w:type="dxa"/>
            <w:tcBorders/>
            <w:shd w:fill="CCEEFF" w:val="clear"/>
          </w:tcPr>
          <w:p>
            <w:pPr>
              <w:pStyle w:val="TableContents"/>
              <w:bidi w:val="0"/>
              <w:spacing w:before="0" w:after="283"/>
              <w:jc w:val="center"/>
              <w:rPr/>
            </w:pPr>
            <w:r>
              <w:rPr/>
              <w:t>Containership</w:t>
            </w:r>
          </w:p>
        </w:tc>
        <w:tc>
          <w:tcPr>
            <w:tcW w:w="120" w:type="dxa"/>
            <w:tcBorders/>
            <w:shd w:fill="CCEEFF" w:val="clear"/>
            <w:vAlign w:val="bottom"/>
          </w:tcPr>
          <w:p>
            <w:pPr>
              <w:pStyle w:val="TableContents"/>
              <w:bidi w:val="0"/>
              <w:spacing w:before="0" w:after="283"/>
              <w:jc w:val="left"/>
              <w:rPr/>
            </w:pPr>
            <w:r>
              <w:rPr/>
              <w:t>  </w:t>
            </w:r>
          </w:p>
        </w:tc>
        <w:tc>
          <w:tcPr>
            <w:tcW w:w="515" w:type="dxa"/>
            <w:tcBorders/>
            <w:shd w:fill="CCEEFF" w:val="clear"/>
          </w:tcPr>
          <w:p>
            <w:pPr>
              <w:pStyle w:val="TableContents"/>
              <w:bidi w:val="0"/>
              <w:spacing w:before="0" w:after="283"/>
              <w:jc w:val="center"/>
              <w:rPr/>
            </w:pPr>
            <w:r>
              <w:rPr/>
              <w:t>2006</w:t>
            </w:r>
          </w:p>
        </w:tc>
        <w:tc>
          <w:tcPr>
            <w:tcW w:w="120" w:type="dxa"/>
            <w:tcBorders/>
            <w:shd w:fill="CCEEFF" w:val="clear"/>
            <w:vAlign w:val="bottom"/>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845" w:type="dxa"/>
            <w:tcBorders/>
            <w:shd w:fill="CCEEFF" w:val="clear"/>
          </w:tcPr>
          <w:p>
            <w:pPr>
              <w:pStyle w:val="TableContents"/>
              <w:bidi w:val="0"/>
              <w:spacing w:before="0" w:after="283"/>
              <w:jc w:val="right"/>
              <w:rPr/>
            </w:pPr>
            <w:r>
              <w:rPr/>
              <w:t>6,800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3" w:type="dxa"/>
            <w:tcBorders/>
            <w:shd w:fill="CCEEFF" w:val="clear"/>
          </w:tcPr>
          <w:p>
            <w:pPr>
              <w:pStyle w:val="TableContents"/>
              <w:bidi w:val="0"/>
              <w:jc w:val="left"/>
              <w:rPr/>
            </w:pPr>
            <w:r>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1087" w:type="dxa"/>
            <w:tcBorders/>
            <w:shd w:fill="CCEEFF" w:val="clear"/>
          </w:tcPr>
          <w:p>
            <w:pPr>
              <w:pStyle w:val="TableContents"/>
              <w:bidi w:val="0"/>
              <w:jc w:val="right"/>
              <w:rPr/>
            </w:pPr>
            <w:r>
              <w:rPr/>
              <w:t>30,119</w:t>
            </w:r>
          </w:p>
          <w:p>
            <w:pPr>
              <w:pStyle w:val="TableContents"/>
              <w:bidi w:val="0"/>
              <w:spacing w:before="0" w:after="20"/>
              <w:jc w:val="right"/>
              <w:rPr>
                <w:rFonts w:ascii="Times New Roman" w:hAnsi="Times New Roman"/>
                <w:sz w:val="20"/>
              </w:rPr>
            </w:pPr>
            <w:r>
              <w:rPr>
                <w:rFonts w:ascii="Times New Roman" w:hAnsi="Times New Roman"/>
                <w:sz w:val="20"/>
              </w:rPr>
              <w:t>21,083</w:t>
            </w:r>
          </w:p>
        </w:tc>
        <w:tc>
          <w:tcPr>
            <w:tcW w:w="60" w:type="dxa"/>
            <w:tcBorders/>
            <w:shd w:fill="CCEEFF" w:val="clear"/>
          </w:tcPr>
          <w:p>
            <w:pPr>
              <w:pStyle w:val="TableContents"/>
              <w:bidi w:val="0"/>
              <w:jc w:val="left"/>
              <w:rPr/>
            </w:pPr>
            <w:r>
              <w:rPr/>
              <w:t> </w:t>
            </w:r>
          </w:p>
          <w:p>
            <w:pPr>
              <w:pStyle w:val="TableContents"/>
              <w:bidi w:val="0"/>
              <w:spacing w:before="0" w:after="20"/>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85" w:type="dxa"/>
            <w:tcBorders/>
            <w:shd w:fill="CCEEFF" w:val="clear"/>
          </w:tcPr>
          <w:p>
            <w:pPr>
              <w:pStyle w:val="TableContents"/>
              <w:bidi w:val="0"/>
              <w:spacing w:before="0" w:after="283"/>
              <w:jc w:val="center"/>
              <w:rPr/>
            </w:pPr>
            <w:r>
              <w:rPr/>
              <w:t>No</w:t>
              <w:br/>
              <w:t>No</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tcPr>
          <w:p>
            <w:pPr>
              <w:pStyle w:val="TableContents"/>
              <w:bidi w:val="0"/>
              <w:spacing w:before="0" w:after="283"/>
              <w:jc w:val="left"/>
              <w:rPr/>
            </w:pPr>
            <w:r>
              <w:rPr/>
              <w:t> </w:t>
            </w:r>
          </w:p>
        </w:tc>
        <w:tc>
          <w:tcPr>
            <w:tcW w:w="1555" w:type="dxa"/>
            <w:tcBorders/>
            <w:shd w:fill="CCEEFF" w:val="clear"/>
          </w:tcPr>
          <w:p>
            <w:pPr>
              <w:pStyle w:val="TableContents"/>
              <w:bidi w:val="0"/>
              <w:spacing w:before="0" w:after="283"/>
              <w:jc w:val="right"/>
              <w:rPr/>
            </w:pPr>
            <w:r>
              <w:rPr/>
              <w:t>Dec-23</w:t>
              <w:br/>
              <w:t>Dec-28</w:t>
            </w:r>
          </w:p>
        </w:tc>
        <w:tc>
          <w:tcPr>
            <w:tcW w:w="60" w:type="dxa"/>
            <w:tcBorders/>
            <w:shd w:fill="CCEEFF" w:val="clear"/>
          </w:tcPr>
          <w:p>
            <w:pPr>
              <w:pStyle w:val="TableContents"/>
              <w:bidi w:val="0"/>
              <w:spacing w:before="0" w:after="283"/>
              <w:jc w:val="left"/>
              <w:rPr/>
            </w:pPr>
            <w:r>
              <w:rPr/>
              <w:br/>
              <w:t> </w:t>
            </w:r>
          </w:p>
        </w:tc>
        <w:tc>
          <w:tcPr>
            <w:tcW w:w="5830" w:type="dxa"/>
            <w:gridSpan w:val="19"/>
            <w:tcBorders/>
            <w:shd w:fill="CCEEFF" w:val="clear"/>
          </w:tcPr>
          <w:p>
            <w:pPr>
              <w:pStyle w:val="TableContents"/>
              <w:bidi w:val="0"/>
              <w:spacing w:before="0" w:after="283"/>
              <w:jc w:val="left"/>
              <w:rPr>
                <w:sz w:val="4"/>
                <w:szCs w:val="4"/>
              </w:rPr>
            </w:pPr>
            <w:r>
              <w:rPr>
                <w:sz w:val="4"/>
                <w:szCs w:val="4"/>
              </w:rPr>
            </w:r>
          </w:p>
        </w:tc>
      </w:tr>
      <w:tr>
        <w:trPr/>
        <w:tc>
          <w:tcPr>
            <w:tcW w:w="1655" w:type="dxa"/>
            <w:tcBorders/>
          </w:tcPr>
          <w:p>
            <w:pPr>
              <w:pStyle w:val="TableContents"/>
              <w:bidi w:val="0"/>
              <w:spacing w:before="0" w:after="0"/>
              <w:jc w:val="left"/>
              <w:rPr>
                <w:rFonts w:ascii="Times New Roman" w:hAnsi="Times New Roman"/>
                <w:sz w:val="20"/>
              </w:rPr>
            </w:pPr>
            <w:r>
              <w:rPr>
                <w:rFonts w:ascii="Times New Roman" w:hAnsi="Times New Roman"/>
                <w:sz w:val="20"/>
              </w:rPr>
              <w:t>Hyundai Singapore(7)</w:t>
            </w:r>
          </w:p>
        </w:tc>
        <w:tc>
          <w:tcPr>
            <w:tcW w:w="120" w:type="dxa"/>
            <w:tcBorders/>
            <w:vAlign w:val="bottom"/>
          </w:tcPr>
          <w:p>
            <w:pPr>
              <w:pStyle w:val="TableContents"/>
              <w:bidi w:val="0"/>
              <w:spacing w:before="0" w:after="283"/>
              <w:jc w:val="left"/>
              <w:rPr/>
            </w:pPr>
            <w:r>
              <w:rPr/>
              <w:t>  </w:t>
            </w:r>
          </w:p>
        </w:tc>
        <w:tc>
          <w:tcPr>
            <w:tcW w:w="1340" w:type="dxa"/>
            <w:tcBorders/>
          </w:tcPr>
          <w:p>
            <w:pPr>
              <w:pStyle w:val="TableContents"/>
              <w:bidi w:val="0"/>
              <w:spacing w:before="0" w:after="283"/>
              <w:jc w:val="center"/>
              <w:rPr/>
            </w:pPr>
            <w:r>
              <w:rPr/>
              <w:t>Containership</w:t>
            </w:r>
          </w:p>
        </w:tc>
        <w:tc>
          <w:tcPr>
            <w:tcW w:w="120" w:type="dxa"/>
            <w:tcBorders/>
            <w:vAlign w:val="bottom"/>
          </w:tcPr>
          <w:p>
            <w:pPr>
              <w:pStyle w:val="TableContents"/>
              <w:bidi w:val="0"/>
              <w:spacing w:before="0" w:after="283"/>
              <w:jc w:val="left"/>
              <w:rPr/>
            </w:pPr>
            <w:r>
              <w:rPr/>
              <w:t>  </w:t>
            </w:r>
          </w:p>
        </w:tc>
        <w:tc>
          <w:tcPr>
            <w:tcW w:w="515" w:type="dxa"/>
            <w:tcBorders/>
          </w:tcPr>
          <w:p>
            <w:pPr>
              <w:pStyle w:val="TableContents"/>
              <w:bidi w:val="0"/>
              <w:spacing w:before="0" w:after="283"/>
              <w:jc w:val="center"/>
              <w:rPr/>
            </w:pPr>
            <w:r>
              <w:rPr/>
              <w:t>2006</w:t>
            </w:r>
          </w:p>
        </w:tc>
        <w:tc>
          <w:tcPr>
            <w:tcW w:w="120"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845" w:type="dxa"/>
            <w:tcBorders/>
          </w:tcPr>
          <w:p>
            <w:pPr>
              <w:pStyle w:val="TableContents"/>
              <w:bidi w:val="0"/>
              <w:spacing w:before="0" w:after="283"/>
              <w:jc w:val="right"/>
              <w:rPr/>
            </w:pPr>
            <w:r>
              <w:rPr/>
              <w:t>6,800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3" w:type="dxa"/>
            <w:tcBorders/>
          </w:tcPr>
          <w:p>
            <w:pPr>
              <w:pStyle w:val="TableContents"/>
              <w:bidi w:val="0"/>
              <w:jc w:val="left"/>
              <w:rPr/>
            </w:pPr>
            <w:r>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1087" w:type="dxa"/>
            <w:tcBorders/>
          </w:tcPr>
          <w:p>
            <w:pPr>
              <w:pStyle w:val="TableContents"/>
              <w:bidi w:val="0"/>
              <w:jc w:val="right"/>
              <w:rPr/>
            </w:pPr>
            <w:r>
              <w:rPr/>
              <w:t>30,119</w:t>
            </w:r>
          </w:p>
          <w:p>
            <w:pPr>
              <w:pStyle w:val="TableContents"/>
              <w:bidi w:val="0"/>
              <w:spacing w:before="0" w:after="20"/>
              <w:jc w:val="right"/>
              <w:rPr>
                <w:rFonts w:ascii="Times New Roman" w:hAnsi="Times New Roman"/>
                <w:sz w:val="20"/>
              </w:rPr>
            </w:pPr>
            <w:r>
              <w:rPr>
                <w:rFonts w:ascii="Times New Roman" w:hAnsi="Times New Roman"/>
                <w:sz w:val="20"/>
              </w:rPr>
              <w:t>21,083</w:t>
            </w:r>
          </w:p>
        </w:tc>
        <w:tc>
          <w:tcPr>
            <w:tcW w:w="60" w:type="dxa"/>
            <w:tcBorders/>
          </w:tcPr>
          <w:p>
            <w:pPr>
              <w:pStyle w:val="TableContents"/>
              <w:bidi w:val="0"/>
              <w:jc w:val="left"/>
              <w:rPr/>
            </w:pPr>
            <w:r>
              <w:rPr/>
              <w:t> </w:t>
            </w:r>
          </w:p>
          <w:p>
            <w:pPr>
              <w:pStyle w:val="TableContents"/>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485" w:type="dxa"/>
            <w:tcBorders/>
          </w:tcPr>
          <w:p>
            <w:pPr>
              <w:pStyle w:val="TableContents"/>
              <w:bidi w:val="0"/>
              <w:spacing w:before="0" w:after="283"/>
              <w:jc w:val="center"/>
              <w:rPr/>
            </w:pPr>
            <w:r>
              <w:rPr/>
              <w:t>No</w:t>
              <w:br/>
              <w:t>No</w:t>
            </w:r>
          </w:p>
        </w:tc>
        <w:tc>
          <w:tcPr>
            <w:tcW w:w="120" w:type="dxa"/>
            <w:tcBorders/>
            <w:vAlign w:val="bottom"/>
          </w:tcPr>
          <w:p>
            <w:pPr>
              <w:pStyle w:val="TableContents"/>
              <w:bidi w:val="0"/>
              <w:spacing w:before="0" w:after="283"/>
              <w:jc w:val="left"/>
              <w:rPr/>
            </w:pPr>
            <w:r>
              <w:rPr/>
              <w:t>  </w:t>
            </w:r>
          </w:p>
        </w:tc>
        <w:tc>
          <w:tcPr>
            <w:tcW w:w="175" w:type="dxa"/>
            <w:tcBorders/>
          </w:tcPr>
          <w:p>
            <w:pPr>
              <w:pStyle w:val="TableContents"/>
              <w:bidi w:val="0"/>
              <w:spacing w:before="0" w:after="283"/>
              <w:jc w:val="left"/>
              <w:rPr/>
            </w:pPr>
            <w:r>
              <w:rPr/>
              <w:t> </w:t>
            </w:r>
          </w:p>
        </w:tc>
        <w:tc>
          <w:tcPr>
            <w:tcW w:w="1555" w:type="dxa"/>
            <w:tcBorders/>
          </w:tcPr>
          <w:p>
            <w:pPr>
              <w:pStyle w:val="TableContents"/>
              <w:bidi w:val="0"/>
              <w:spacing w:before="0" w:after="283"/>
              <w:jc w:val="right"/>
              <w:rPr/>
            </w:pPr>
            <w:r>
              <w:rPr/>
              <w:t>Dec-23</w:t>
              <w:br/>
              <w:t>Dec-28</w:t>
            </w:r>
          </w:p>
        </w:tc>
        <w:tc>
          <w:tcPr>
            <w:tcW w:w="60" w:type="dxa"/>
            <w:tcBorders/>
          </w:tcPr>
          <w:p>
            <w:pPr>
              <w:pStyle w:val="TableContents"/>
              <w:bidi w:val="0"/>
              <w:spacing w:before="0" w:after="283"/>
              <w:jc w:val="left"/>
              <w:rPr/>
            </w:pPr>
            <w:r>
              <w:rPr/>
              <w:br/>
              <w:t> </w:t>
            </w:r>
          </w:p>
        </w:tc>
        <w:tc>
          <w:tcPr>
            <w:tcW w:w="5830" w:type="dxa"/>
            <w:gridSpan w:val="19"/>
            <w:tcBorders/>
          </w:tcPr>
          <w:p>
            <w:pPr>
              <w:pStyle w:val="TableContents"/>
              <w:bidi w:val="0"/>
              <w:spacing w:before="0" w:after="283"/>
              <w:jc w:val="left"/>
              <w:rPr>
                <w:sz w:val="4"/>
                <w:szCs w:val="4"/>
              </w:rPr>
            </w:pPr>
            <w:r>
              <w:rPr>
                <w:sz w:val="4"/>
                <w:szCs w:val="4"/>
              </w:rPr>
            </w:r>
          </w:p>
        </w:tc>
      </w:tr>
      <w:tr>
        <w:trPr/>
        <w:tc>
          <w:tcPr>
            <w:tcW w:w="1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Hyundai Busan(7)</w:t>
            </w:r>
          </w:p>
        </w:tc>
        <w:tc>
          <w:tcPr>
            <w:tcW w:w="120" w:type="dxa"/>
            <w:tcBorders/>
            <w:shd w:fill="CCEEFF" w:val="clear"/>
            <w:vAlign w:val="bottom"/>
          </w:tcPr>
          <w:p>
            <w:pPr>
              <w:pStyle w:val="TableContents"/>
              <w:bidi w:val="0"/>
              <w:spacing w:before="0" w:after="283"/>
              <w:jc w:val="left"/>
              <w:rPr/>
            </w:pPr>
            <w:r>
              <w:rPr/>
              <w:t>  </w:t>
            </w:r>
          </w:p>
        </w:tc>
        <w:tc>
          <w:tcPr>
            <w:tcW w:w="1340" w:type="dxa"/>
            <w:tcBorders/>
            <w:shd w:fill="CCEEFF" w:val="clear"/>
          </w:tcPr>
          <w:p>
            <w:pPr>
              <w:pStyle w:val="TableContents"/>
              <w:bidi w:val="0"/>
              <w:spacing w:before="0" w:after="283"/>
              <w:jc w:val="center"/>
              <w:rPr/>
            </w:pPr>
            <w:r>
              <w:rPr/>
              <w:t>Containership</w:t>
            </w:r>
          </w:p>
        </w:tc>
        <w:tc>
          <w:tcPr>
            <w:tcW w:w="120" w:type="dxa"/>
            <w:tcBorders/>
            <w:shd w:fill="CCEEFF" w:val="clear"/>
            <w:vAlign w:val="bottom"/>
          </w:tcPr>
          <w:p>
            <w:pPr>
              <w:pStyle w:val="TableContents"/>
              <w:bidi w:val="0"/>
              <w:spacing w:before="0" w:after="283"/>
              <w:jc w:val="left"/>
              <w:rPr/>
            </w:pPr>
            <w:r>
              <w:rPr/>
              <w:t>  </w:t>
            </w:r>
          </w:p>
        </w:tc>
        <w:tc>
          <w:tcPr>
            <w:tcW w:w="515" w:type="dxa"/>
            <w:tcBorders/>
            <w:shd w:fill="CCEEFF" w:val="clear"/>
          </w:tcPr>
          <w:p>
            <w:pPr>
              <w:pStyle w:val="TableContents"/>
              <w:bidi w:val="0"/>
              <w:spacing w:before="0" w:after="283"/>
              <w:jc w:val="center"/>
              <w:rPr/>
            </w:pPr>
            <w:r>
              <w:rPr/>
              <w:t>2006</w:t>
            </w:r>
          </w:p>
        </w:tc>
        <w:tc>
          <w:tcPr>
            <w:tcW w:w="120" w:type="dxa"/>
            <w:tcBorders/>
            <w:shd w:fill="CCEEFF" w:val="clear"/>
            <w:vAlign w:val="bottom"/>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845" w:type="dxa"/>
            <w:tcBorders/>
            <w:shd w:fill="CCEEFF" w:val="clear"/>
          </w:tcPr>
          <w:p>
            <w:pPr>
              <w:pStyle w:val="TableContents"/>
              <w:bidi w:val="0"/>
              <w:spacing w:before="0" w:after="283"/>
              <w:jc w:val="right"/>
              <w:rPr/>
            </w:pPr>
            <w:r>
              <w:rPr/>
              <w:t>6,800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3" w:type="dxa"/>
            <w:tcBorders/>
            <w:shd w:fill="CCEEFF" w:val="clear"/>
          </w:tcPr>
          <w:p>
            <w:pPr>
              <w:pStyle w:val="TableContents"/>
              <w:bidi w:val="0"/>
              <w:jc w:val="left"/>
              <w:rPr/>
            </w:pPr>
            <w:r>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1087" w:type="dxa"/>
            <w:tcBorders/>
            <w:shd w:fill="CCEEFF" w:val="clear"/>
          </w:tcPr>
          <w:p>
            <w:pPr>
              <w:pStyle w:val="TableContents"/>
              <w:bidi w:val="0"/>
              <w:jc w:val="right"/>
              <w:rPr/>
            </w:pPr>
            <w:r>
              <w:rPr/>
              <w:t>30,119</w:t>
            </w:r>
          </w:p>
          <w:p>
            <w:pPr>
              <w:pStyle w:val="TableContents"/>
              <w:bidi w:val="0"/>
              <w:spacing w:before="0" w:after="20"/>
              <w:jc w:val="right"/>
              <w:rPr>
                <w:rFonts w:ascii="Times New Roman" w:hAnsi="Times New Roman"/>
                <w:sz w:val="20"/>
              </w:rPr>
            </w:pPr>
            <w:r>
              <w:rPr>
                <w:rFonts w:ascii="Times New Roman" w:hAnsi="Times New Roman"/>
                <w:sz w:val="20"/>
              </w:rPr>
              <w:t>21,083</w:t>
            </w:r>
          </w:p>
        </w:tc>
        <w:tc>
          <w:tcPr>
            <w:tcW w:w="60" w:type="dxa"/>
            <w:tcBorders/>
            <w:shd w:fill="CCEEFF" w:val="clear"/>
          </w:tcPr>
          <w:p>
            <w:pPr>
              <w:pStyle w:val="TableContents"/>
              <w:bidi w:val="0"/>
              <w:jc w:val="left"/>
              <w:rPr/>
            </w:pPr>
            <w:r>
              <w:rPr/>
              <w:t> </w:t>
            </w:r>
          </w:p>
          <w:p>
            <w:pPr>
              <w:pStyle w:val="TableContents"/>
              <w:bidi w:val="0"/>
              <w:spacing w:before="0" w:after="20"/>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85" w:type="dxa"/>
            <w:tcBorders/>
            <w:shd w:fill="CCEEFF" w:val="clear"/>
          </w:tcPr>
          <w:p>
            <w:pPr>
              <w:pStyle w:val="TableContents"/>
              <w:bidi w:val="0"/>
              <w:spacing w:before="0" w:after="283"/>
              <w:jc w:val="center"/>
              <w:rPr/>
            </w:pPr>
            <w:r>
              <w:rPr/>
              <w:t>No</w:t>
              <w:br/>
              <w:t>No</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tcPr>
          <w:p>
            <w:pPr>
              <w:pStyle w:val="TableContents"/>
              <w:bidi w:val="0"/>
              <w:spacing w:before="0" w:after="283"/>
              <w:jc w:val="left"/>
              <w:rPr/>
            </w:pPr>
            <w:r>
              <w:rPr/>
              <w:t> </w:t>
            </w:r>
          </w:p>
        </w:tc>
        <w:tc>
          <w:tcPr>
            <w:tcW w:w="1555" w:type="dxa"/>
            <w:tcBorders/>
            <w:shd w:fill="CCEEFF" w:val="clear"/>
          </w:tcPr>
          <w:p>
            <w:pPr>
              <w:pStyle w:val="TableContents"/>
              <w:bidi w:val="0"/>
              <w:spacing w:before="0" w:after="283"/>
              <w:jc w:val="right"/>
              <w:rPr/>
            </w:pPr>
            <w:r>
              <w:rPr/>
              <w:t>Aug-24</w:t>
              <w:br/>
              <w:t>Aug-29</w:t>
            </w:r>
          </w:p>
        </w:tc>
        <w:tc>
          <w:tcPr>
            <w:tcW w:w="60" w:type="dxa"/>
            <w:tcBorders/>
            <w:shd w:fill="CCEEFF" w:val="clear"/>
          </w:tcPr>
          <w:p>
            <w:pPr>
              <w:pStyle w:val="TableContents"/>
              <w:bidi w:val="0"/>
              <w:spacing w:before="0" w:after="283"/>
              <w:jc w:val="left"/>
              <w:rPr/>
            </w:pPr>
            <w:r>
              <w:rPr/>
              <w:br/>
              <w:t> </w:t>
            </w:r>
          </w:p>
        </w:tc>
        <w:tc>
          <w:tcPr>
            <w:tcW w:w="5830" w:type="dxa"/>
            <w:gridSpan w:val="19"/>
            <w:tcBorders/>
            <w:shd w:fill="CCEEFF" w:val="clear"/>
          </w:tcPr>
          <w:p>
            <w:pPr>
              <w:pStyle w:val="TableContents"/>
              <w:bidi w:val="0"/>
              <w:spacing w:before="0" w:after="283"/>
              <w:jc w:val="left"/>
              <w:rPr>
                <w:sz w:val="4"/>
                <w:szCs w:val="4"/>
              </w:rPr>
            </w:pPr>
            <w:r>
              <w:rPr>
                <w:sz w:val="4"/>
                <w:szCs w:val="4"/>
              </w:rPr>
            </w:r>
          </w:p>
        </w:tc>
      </w:tr>
      <w:tr>
        <w:trPr/>
        <w:tc>
          <w:tcPr>
            <w:tcW w:w="1655" w:type="dxa"/>
            <w:tcBorders/>
          </w:tcPr>
          <w:p>
            <w:pPr>
              <w:pStyle w:val="TableContents"/>
              <w:bidi w:val="0"/>
              <w:spacing w:before="0" w:after="0"/>
              <w:jc w:val="left"/>
              <w:rPr>
                <w:rFonts w:ascii="Times New Roman" w:hAnsi="Times New Roman"/>
                <w:sz w:val="20"/>
              </w:rPr>
            </w:pPr>
            <w:r>
              <w:rPr>
                <w:rFonts w:ascii="Times New Roman" w:hAnsi="Times New Roman"/>
                <w:sz w:val="20"/>
              </w:rPr>
              <w:t>Hyundai Shanghai(7)</w:t>
            </w:r>
          </w:p>
        </w:tc>
        <w:tc>
          <w:tcPr>
            <w:tcW w:w="120" w:type="dxa"/>
            <w:tcBorders/>
            <w:vAlign w:val="bottom"/>
          </w:tcPr>
          <w:p>
            <w:pPr>
              <w:pStyle w:val="TableContents"/>
              <w:bidi w:val="0"/>
              <w:spacing w:before="0" w:after="283"/>
              <w:jc w:val="left"/>
              <w:rPr/>
            </w:pPr>
            <w:r>
              <w:rPr/>
              <w:t>  </w:t>
            </w:r>
          </w:p>
        </w:tc>
        <w:tc>
          <w:tcPr>
            <w:tcW w:w="1340" w:type="dxa"/>
            <w:tcBorders/>
          </w:tcPr>
          <w:p>
            <w:pPr>
              <w:pStyle w:val="TableContents"/>
              <w:bidi w:val="0"/>
              <w:spacing w:before="0" w:after="283"/>
              <w:jc w:val="center"/>
              <w:rPr/>
            </w:pPr>
            <w:r>
              <w:rPr/>
              <w:t>Containership</w:t>
            </w:r>
          </w:p>
        </w:tc>
        <w:tc>
          <w:tcPr>
            <w:tcW w:w="120" w:type="dxa"/>
            <w:tcBorders/>
            <w:vAlign w:val="bottom"/>
          </w:tcPr>
          <w:p>
            <w:pPr>
              <w:pStyle w:val="TableContents"/>
              <w:bidi w:val="0"/>
              <w:spacing w:before="0" w:after="283"/>
              <w:jc w:val="left"/>
              <w:rPr/>
            </w:pPr>
            <w:r>
              <w:rPr/>
              <w:t>  </w:t>
            </w:r>
          </w:p>
        </w:tc>
        <w:tc>
          <w:tcPr>
            <w:tcW w:w="515" w:type="dxa"/>
            <w:tcBorders/>
          </w:tcPr>
          <w:p>
            <w:pPr>
              <w:pStyle w:val="TableContents"/>
              <w:bidi w:val="0"/>
              <w:spacing w:before="0" w:after="283"/>
              <w:jc w:val="center"/>
              <w:rPr/>
            </w:pPr>
            <w:r>
              <w:rPr/>
              <w:t>2006</w:t>
            </w:r>
          </w:p>
        </w:tc>
        <w:tc>
          <w:tcPr>
            <w:tcW w:w="120"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845" w:type="dxa"/>
            <w:tcBorders/>
          </w:tcPr>
          <w:p>
            <w:pPr>
              <w:pStyle w:val="TableContents"/>
              <w:bidi w:val="0"/>
              <w:spacing w:before="0" w:after="283"/>
              <w:jc w:val="right"/>
              <w:rPr/>
            </w:pPr>
            <w:r>
              <w:rPr/>
              <w:t>6,800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3" w:type="dxa"/>
            <w:tcBorders/>
          </w:tcPr>
          <w:p>
            <w:pPr>
              <w:pStyle w:val="TableContents"/>
              <w:bidi w:val="0"/>
              <w:jc w:val="left"/>
              <w:rPr/>
            </w:pPr>
            <w:r>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1087" w:type="dxa"/>
            <w:tcBorders/>
          </w:tcPr>
          <w:p>
            <w:pPr>
              <w:pStyle w:val="TableContents"/>
              <w:bidi w:val="0"/>
              <w:jc w:val="right"/>
              <w:rPr/>
            </w:pPr>
            <w:r>
              <w:rPr/>
              <w:t>30,119</w:t>
            </w:r>
          </w:p>
          <w:p>
            <w:pPr>
              <w:pStyle w:val="TableContents"/>
              <w:bidi w:val="0"/>
              <w:spacing w:before="0" w:after="20"/>
              <w:jc w:val="right"/>
              <w:rPr>
                <w:rFonts w:ascii="Times New Roman" w:hAnsi="Times New Roman"/>
                <w:sz w:val="20"/>
              </w:rPr>
            </w:pPr>
            <w:r>
              <w:rPr>
                <w:rFonts w:ascii="Times New Roman" w:hAnsi="Times New Roman"/>
                <w:sz w:val="20"/>
              </w:rPr>
              <w:t>21,083</w:t>
            </w:r>
          </w:p>
        </w:tc>
        <w:tc>
          <w:tcPr>
            <w:tcW w:w="60" w:type="dxa"/>
            <w:tcBorders/>
          </w:tcPr>
          <w:p>
            <w:pPr>
              <w:pStyle w:val="TableContents"/>
              <w:bidi w:val="0"/>
              <w:jc w:val="left"/>
              <w:rPr/>
            </w:pPr>
            <w:r>
              <w:rPr/>
              <w:t> </w:t>
            </w:r>
          </w:p>
          <w:p>
            <w:pPr>
              <w:pStyle w:val="TableContents"/>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485" w:type="dxa"/>
            <w:tcBorders/>
          </w:tcPr>
          <w:p>
            <w:pPr>
              <w:pStyle w:val="TableContents"/>
              <w:bidi w:val="0"/>
              <w:spacing w:before="0" w:after="283"/>
              <w:jc w:val="center"/>
              <w:rPr/>
            </w:pPr>
            <w:r>
              <w:rPr/>
              <w:t>No</w:t>
              <w:br/>
              <w:t>No</w:t>
            </w:r>
          </w:p>
        </w:tc>
        <w:tc>
          <w:tcPr>
            <w:tcW w:w="120" w:type="dxa"/>
            <w:tcBorders/>
            <w:vAlign w:val="bottom"/>
          </w:tcPr>
          <w:p>
            <w:pPr>
              <w:pStyle w:val="TableContents"/>
              <w:bidi w:val="0"/>
              <w:spacing w:before="0" w:after="283"/>
              <w:jc w:val="left"/>
              <w:rPr/>
            </w:pPr>
            <w:r>
              <w:rPr/>
              <w:t>  </w:t>
            </w:r>
          </w:p>
        </w:tc>
        <w:tc>
          <w:tcPr>
            <w:tcW w:w="175" w:type="dxa"/>
            <w:tcBorders/>
          </w:tcPr>
          <w:p>
            <w:pPr>
              <w:pStyle w:val="TableContents"/>
              <w:bidi w:val="0"/>
              <w:spacing w:before="0" w:after="283"/>
              <w:jc w:val="left"/>
              <w:rPr/>
            </w:pPr>
            <w:r>
              <w:rPr/>
              <w:t> </w:t>
            </w:r>
          </w:p>
        </w:tc>
        <w:tc>
          <w:tcPr>
            <w:tcW w:w="1555" w:type="dxa"/>
            <w:tcBorders/>
          </w:tcPr>
          <w:p>
            <w:pPr>
              <w:pStyle w:val="TableContents"/>
              <w:bidi w:val="0"/>
              <w:spacing w:before="0" w:after="283"/>
              <w:jc w:val="right"/>
              <w:rPr/>
            </w:pPr>
            <w:r>
              <w:rPr/>
              <w:t>Aug-24</w:t>
              <w:br/>
              <w:t>Aug-29</w:t>
            </w:r>
          </w:p>
        </w:tc>
        <w:tc>
          <w:tcPr>
            <w:tcW w:w="60" w:type="dxa"/>
            <w:tcBorders/>
          </w:tcPr>
          <w:p>
            <w:pPr>
              <w:pStyle w:val="TableContents"/>
              <w:bidi w:val="0"/>
              <w:spacing w:before="0" w:after="283"/>
              <w:jc w:val="left"/>
              <w:rPr/>
            </w:pPr>
            <w:r>
              <w:rPr/>
              <w:br/>
              <w:t> </w:t>
            </w:r>
          </w:p>
        </w:tc>
        <w:tc>
          <w:tcPr>
            <w:tcW w:w="5830" w:type="dxa"/>
            <w:gridSpan w:val="19"/>
            <w:tcBorders/>
          </w:tcPr>
          <w:p>
            <w:pPr>
              <w:pStyle w:val="TableContents"/>
              <w:bidi w:val="0"/>
              <w:spacing w:before="0" w:after="283"/>
              <w:jc w:val="left"/>
              <w:rPr>
                <w:sz w:val="4"/>
                <w:szCs w:val="4"/>
              </w:rPr>
            </w:pPr>
            <w:r>
              <w:rPr>
                <w:sz w:val="4"/>
                <w:szCs w:val="4"/>
              </w:rPr>
            </w:r>
          </w:p>
        </w:tc>
      </w:tr>
      <w:tr>
        <w:trPr/>
        <w:tc>
          <w:tcPr>
            <w:tcW w:w="1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Hyundai Tokyo(7)</w:t>
            </w:r>
          </w:p>
        </w:tc>
        <w:tc>
          <w:tcPr>
            <w:tcW w:w="120" w:type="dxa"/>
            <w:tcBorders/>
            <w:shd w:fill="CCEEFF" w:val="clear"/>
            <w:vAlign w:val="bottom"/>
          </w:tcPr>
          <w:p>
            <w:pPr>
              <w:pStyle w:val="TableContents"/>
              <w:bidi w:val="0"/>
              <w:spacing w:before="0" w:after="283"/>
              <w:jc w:val="left"/>
              <w:rPr/>
            </w:pPr>
            <w:r>
              <w:rPr/>
              <w:t>  </w:t>
            </w:r>
          </w:p>
        </w:tc>
        <w:tc>
          <w:tcPr>
            <w:tcW w:w="1340" w:type="dxa"/>
            <w:tcBorders/>
            <w:shd w:fill="CCEEFF" w:val="clear"/>
          </w:tcPr>
          <w:p>
            <w:pPr>
              <w:pStyle w:val="TableContents"/>
              <w:bidi w:val="0"/>
              <w:spacing w:before="0" w:after="283"/>
              <w:jc w:val="center"/>
              <w:rPr/>
            </w:pPr>
            <w:r>
              <w:rPr/>
              <w:t>Containership</w:t>
            </w:r>
          </w:p>
        </w:tc>
        <w:tc>
          <w:tcPr>
            <w:tcW w:w="120" w:type="dxa"/>
            <w:tcBorders/>
            <w:shd w:fill="CCEEFF" w:val="clear"/>
            <w:vAlign w:val="bottom"/>
          </w:tcPr>
          <w:p>
            <w:pPr>
              <w:pStyle w:val="TableContents"/>
              <w:bidi w:val="0"/>
              <w:spacing w:before="0" w:after="283"/>
              <w:jc w:val="left"/>
              <w:rPr/>
            </w:pPr>
            <w:r>
              <w:rPr/>
              <w:t>  </w:t>
            </w:r>
          </w:p>
        </w:tc>
        <w:tc>
          <w:tcPr>
            <w:tcW w:w="515" w:type="dxa"/>
            <w:tcBorders/>
            <w:shd w:fill="CCEEFF" w:val="clear"/>
          </w:tcPr>
          <w:p>
            <w:pPr>
              <w:pStyle w:val="TableContents"/>
              <w:bidi w:val="0"/>
              <w:spacing w:before="0" w:after="283"/>
              <w:jc w:val="center"/>
              <w:rPr/>
            </w:pPr>
            <w:r>
              <w:rPr/>
              <w:t>2006</w:t>
            </w:r>
          </w:p>
        </w:tc>
        <w:tc>
          <w:tcPr>
            <w:tcW w:w="120" w:type="dxa"/>
            <w:tcBorders/>
            <w:shd w:fill="CCEEFF" w:val="clear"/>
            <w:vAlign w:val="bottom"/>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845" w:type="dxa"/>
            <w:tcBorders/>
            <w:shd w:fill="CCEEFF" w:val="clear"/>
          </w:tcPr>
          <w:p>
            <w:pPr>
              <w:pStyle w:val="TableContents"/>
              <w:bidi w:val="0"/>
              <w:spacing w:before="0" w:after="283"/>
              <w:jc w:val="right"/>
              <w:rPr/>
            </w:pPr>
            <w:r>
              <w:rPr/>
              <w:t>6,800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3" w:type="dxa"/>
            <w:tcBorders/>
            <w:shd w:fill="CCEEFF" w:val="clear"/>
          </w:tcPr>
          <w:p>
            <w:pPr>
              <w:pStyle w:val="TableContents"/>
              <w:bidi w:val="0"/>
              <w:jc w:val="left"/>
              <w:rPr/>
            </w:pPr>
            <w:r>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1087" w:type="dxa"/>
            <w:tcBorders/>
            <w:shd w:fill="CCEEFF" w:val="clear"/>
          </w:tcPr>
          <w:p>
            <w:pPr>
              <w:pStyle w:val="TableContents"/>
              <w:bidi w:val="0"/>
              <w:jc w:val="right"/>
              <w:rPr/>
            </w:pPr>
            <w:r>
              <w:rPr/>
              <w:t>30,119</w:t>
            </w:r>
          </w:p>
          <w:p>
            <w:pPr>
              <w:pStyle w:val="TableContents"/>
              <w:bidi w:val="0"/>
              <w:spacing w:before="0" w:after="20"/>
              <w:jc w:val="right"/>
              <w:rPr>
                <w:rFonts w:ascii="Times New Roman" w:hAnsi="Times New Roman"/>
                <w:sz w:val="20"/>
              </w:rPr>
            </w:pPr>
            <w:r>
              <w:rPr>
                <w:rFonts w:ascii="Times New Roman" w:hAnsi="Times New Roman"/>
                <w:sz w:val="20"/>
              </w:rPr>
              <w:t>21,083</w:t>
            </w:r>
          </w:p>
        </w:tc>
        <w:tc>
          <w:tcPr>
            <w:tcW w:w="60" w:type="dxa"/>
            <w:tcBorders/>
            <w:shd w:fill="CCEEFF" w:val="clear"/>
          </w:tcPr>
          <w:p>
            <w:pPr>
              <w:pStyle w:val="TableContents"/>
              <w:bidi w:val="0"/>
              <w:jc w:val="left"/>
              <w:rPr/>
            </w:pPr>
            <w:r>
              <w:rPr/>
              <w:t> </w:t>
            </w:r>
          </w:p>
          <w:p>
            <w:pPr>
              <w:pStyle w:val="TableContents"/>
              <w:bidi w:val="0"/>
              <w:spacing w:before="0" w:after="20"/>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85" w:type="dxa"/>
            <w:tcBorders/>
            <w:shd w:fill="CCEEFF" w:val="clear"/>
          </w:tcPr>
          <w:p>
            <w:pPr>
              <w:pStyle w:val="TableContents"/>
              <w:bidi w:val="0"/>
              <w:spacing w:before="0" w:after="283"/>
              <w:jc w:val="center"/>
              <w:rPr/>
            </w:pPr>
            <w:r>
              <w:rPr/>
              <w:t>No</w:t>
              <w:br/>
              <w:t>No</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tcPr>
          <w:p>
            <w:pPr>
              <w:pStyle w:val="TableContents"/>
              <w:bidi w:val="0"/>
              <w:spacing w:before="0" w:after="283"/>
              <w:jc w:val="left"/>
              <w:rPr/>
            </w:pPr>
            <w:r>
              <w:rPr/>
              <w:t> </w:t>
            </w:r>
          </w:p>
        </w:tc>
        <w:tc>
          <w:tcPr>
            <w:tcW w:w="1555" w:type="dxa"/>
            <w:tcBorders/>
            <w:shd w:fill="CCEEFF" w:val="clear"/>
          </w:tcPr>
          <w:p>
            <w:pPr>
              <w:pStyle w:val="TableContents"/>
              <w:bidi w:val="0"/>
              <w:spacing w:before="0" w:after="283"/>
              <w:jc w:val="right"/>
              <w:rPr/>
            </w:pPr>
            <w:r>
              <w:rPr/>
              <w:t>Dec-23</w:t>
              <w:br/>
              <w:t>Dec-28</w:t>
            </w:r>
          </w:p>
        </w:tc>
        <w:tc>
          <w:tcPr>
            <w:tcW w:w="60" w:type="dxa"/>
            <w:tcBorders/>
            <w:shd w:fill="CCEEFF" w:val="clear"/>
          </w:tcPr>
          <w:p>
            <w:pPr>
              <w:pStyle w:val="TableContents"/>
              <w:bidi w:val="0"/>
              <w:spacing w:before="0" w:after="283"/>
              <w:jc w:val="left"/>
              <w:rPr/>
            </w:pPr>
            <w:r>
              <w:rPr/>
              <w:br/>
              <w:t> </w:t>
            </w:r>
          </w:p>
        </w:tc>
        <w:tc>
          <w:tcPr>
            <w:tcW w:w="5830" w:type="dxa"/>
            <w:gridSpan w:val="19"/>
            <w:tcBorders/>
            <w:shd w:fill="CCEEFF" w:val="clear"/>
          </w:tcPr>
          <w:p>
            <w:pPr>
              <w:pStyle w:val="TableContents"/>
              <w:bidi w:val="0"/>
              <w:spacing w:before="0" w:after="283"/>
              <w:jc w:val="left"/>
              <w:rPr>
                <w:sz w:val="4"/>
                <w:szCs w:val="4"/>
              </w:rPr>
            </w:pPr>
            <w:r>
              <w:rPr>
                <w:sz w:val="4"/>
                <w:szCs w:val="4"/>
              </w:rPr>
            </w:r>
          </w:p>
        </w:tc>
      </w:tr>
      <w:tr>
        <w:trPr/>
        <w:tc>
          <w:tcPr>
            <w:tcW w:w="1655" w:type="dxa"/>
            <w:tcBorders/>
          </w:tcPr>
          <w:p>
            <w:pPr>
              <w:pStyle w:val="TableContents"/>
              <w:bidi w:val="0"/>
              <w:spacing w:before="0" w:after="0"/>
              <w:jc w:val="left"/>
              <w:rPr>
                <w:rFonts w:ascii="Times New Roman" w:hAnsi="Times New Roman"/>
                <w:sz w:val="20"/>
              </w:rPr>
            </w:pPr>
            <w:r>
              <w:rPr>
                <w:rFonts w:ascii="Times New Roman" w:hAnsi="Times New Roman"/>
                <w:sz w:val="20"/>
              </w:rPr>
              <w:t>Protostar N</w:t>
            </w:r>
          </w:p>
        </w:tc>
        <w:tc>
          <w:tcPr>
            <w:tcW w:w="120" w:type="dxa"/>
            <w:tcBorders/>
            <w:vAlign w:val="bottom"/>
          </w:tcPr>
          <w:p>
            <w:pPr>
              <w:pStyle w:val="TableContents"/>
              <w:bidi w:val="0"/>
              <w:spacing w:before="0" w:after="283"/>
              <w:jc w:val="left"/>
              <w:rPr/>
            </w:pPr>
            <w:r>
              <w:rPr/>
              <w:t>  </w:t>
            </w:r>
          </w:p>
        </w:tc>
        <w:tc>
          <w:tcPr>
            <w:tcW w:w="1340" w:type="dxa"/>
            <w:tcBorders/>
          </w:tcPr>
          <w:p>
            <w:pPr>
              <w:pStyle w:val="TableContents"/>
              <w:bidi w:val="0"/>
              <w:spacing w:before="0" w:after="283"/>
              <w:jc w:val="center"/>
              <w:rPr/>
            </w:pPr>
            <w:r>
              <w:rPr/>
              <w:t>Containership</w:t>
            </w:r>
          </w:p>
        </w:tc>
        <w:tc>
          <w:tcPr>
            <w:tcW w:w="120" w:type="dxa"/>
            <w:tcBorders/>
            <w:vAlign w:val="bottom"/>
          </w:tcPr>
          <w:p>
            <w:pPr>
              <w:pStyle w:val="TableContents"/>
              <w:bidi w:val="0"/>
              <w:spacing w:before="0" w:after="283"/>
              <w:jc w:val="left"/>
              <w:rPr/>
            </w:pPr>
            <w:r>
              <w:rPr/>
              <w:t>  </w:t>
            </w:r>
          </w:p>
        </w:tc>
        <w:tc>
          <w:tcPr>
            <w:tcW w:w="515" w:type="dxa"/>
            <w:tcBorders/>
          </w:tcPr>
          <w:p>
            <w:pPr>
              <w:pStyle w:val="TableContents"/>
              <w:bidi w:val="0"/>
              <w:spacing w:before="0" w:after="283"/>
              <w:jc w:val="center"/>
              <w:rPr/>
            </w:pPr>
            <w:r>
              <w:rPr/>
              <w:t>2007</w:t>
            </w:r>
          </w:p>
        </w:tc>
        <w:tc>
          <w:tcPr>
            <w:tcW w:w="120"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845" w:type="dxa"/>
            <w:tcBorders/>
          </w:tcPr>
          <w:p>
            <w:pPr>
              <w:pStyle w:val="TableContents"/>
              <w:bidi w:val="0"/>
              <w:spacing w:before="0" w:after="283"/>
              <w:jc w:val="right"/>
              <w:rPr/>
            </w:pPr>
            <w:r>
              <w:rPr/>
              <w:t>2,741</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3" w:type="dxa"/>
            <w:tcBorders/>
          </w:tcPr>
          <w:p>
            <w:pPr>
              <w:pStyle w:val="TableContents"/>
              <w:bidi w:val="0"/>
              <w:spacing w:before="0" w:after="283"/>
              <w:jc w:val="left"/>
              <w:rPr/>
            </w:pPr>
            <w:r>
              <w:rPr/>
              <w:t>$</w:t>
            </w:r>
          </w:p>
        </w:tc>
        <w:tc>
          <w:tcPr>
            <w:tcW w:w="1087" w:type="dxa"/>
            <w:tcBorders/>
          </w:tcPr>
          <w:p>
            <w:pPr>
              <w:pStyle w:val="TableContents"/>
              <w:bidi w:val="0"/>
              <w:spacing w:before="0" w:after="283"/>
              <w:jc w:val="right"/>
              <w:rPr/>
            </w:pPr>
            <w:r>
              <w:rPr/>
              <w:t>46,556</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5" w:type="dxa"/>
            <w:tcBorders/>
          </w:tcPr>
          <w:p>
            <w:pPr>
              <w:pStyle w:val="TableContents"/>
              <w:bidi w:val="0"/>
              <w:spacing w:before="0" w:after="283"/>
              <w:jc w:val="center"/>
              <w:rPr/>
            </w:pPr>
            <w:r>
              <w:rPr/>
              <w:t>No</w:t>
            </w:r>
          </w:p>
        </w:tc>
        <w:tc>
          <w:tcPr>
            <w:tcW w:w="120" w:type="dxa"/>
            <w:tcBorders/>
            <w:vAlign w:val="bottom"/>
          </w:tcPr>
          <w:p>
            <w:pPr>
              <w:pStyle w:val="TableContents"/>
              <w:bidi w:val="0"/>
              <w:spacing w:before="0" w:after="283"/>
              <w:jc w:val="left"/>
              <w:rPr/>
            </w:pPr>
            <w:r>
              <w:rPr/>
              <w:t>  </w:t>
            </w:r>
          </w:p>
        </w:tc>
        <w:tc>
          <w:tcPr>
            <w:tcW w:w="175" w:type="dxa"/>
            <w:tcBorders/>
          </w:tcPr>
          <w:p>
            <w:pPr>
              <w:pStyle w:val="TableContents"/>
              <w:bidi w:val="0"/>
              <w:spacing w:before="0" w:after="283"/>
              <w:jc w:val="left"/>
              <w:rPr/>
            </w:pPr>
            <w:r>
              <w:rPr/>
              <w:t> </w:t>
            </w:r>
          </w:p>
        </w:tc>
        <w:tc>
          <w:tcPr>
            <w:tcW w:w="1555" w:type="dxa"/>
            <w:tcBorders/>
          </w:tcPr>
          <w:p>
            <w:pPr>
              <w:pStyle w:val="TableContents"/>
              <w:bidi w:val="0"/>
              <w:spacing w:before="0" w:after="283"/>
              <w:jc w:val="right"/>
              <w:rPr/>
            </w:pPr>
            <w:r>
              <w:rPr/>
              <w:t>Nov-25</w:t>
            </w:r>
          </w:p>
        </w:tc>
        <w:tc>
          <w:tcPr>
            <w:tcW w:w="60" w:type="dxa"/>
            <w:tcBorders/>
          </w:tcPr>
          <w:p>
            <w:pPr>
              <w:pStyle w:val="TableContents"/>
              <w:bidi w:val="0"/>
              <w:spacing w:before="0" w:after="283"/>
              <w:jc w:val="left"/>
              <w:rPr/>
            </w:pPr>
            <w:r>
              <w:rPr/>
              <w:t> </w:t>
            </w:r>
          </w:p>
        </w:tc>
        <w:tc>
          <w:tcPr>
            <w:tcW w:w="5830" w:type="dxa"/>
            <w:gridSpan w:val="19"/>
            <w:tcBorders/>
          </w:tcPr>
          <w:p>
            <w:pPr>
              <w:pStyle w:val="TableContents"/>
              <w:bidi w:val="0"/>
              <w:spacing w:before="0" w:after="283"/>
              <w:jc w:val="left"/>
              <w:rPr>
                <w:sz w:val="4"/>
                <w:szCs w:val="4"/>
              </w:rPr>
            </w:pPr>
            <w:r>
              <w:rPr>
                <w:sz w:val="4"/>
                <w:szCs w:val="4"/>
              </w:rPr>
            </w:r>
          </w:p>
        </w:tc>
      </w:tr>
      <w:tr>
        <w:trPr/>
        <w:tc>
          <w:tcPr>
            <w:tcW w:w="1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Spring(5)</w:t>
            </w:r>
          </w:p>
        </w:tc>
        <w:tc>
          <w:tcPr>
            <w:tcW w:w="120" w:type="dxa"/>
            <w:tcBorders/>
            <w:shd w:fill="CCEEFF" w:val="clear"/>
            <w:vAlign w:val="bottom"/>
          </w:tcPr>
          <w:p>
            <w:pPr>
              <w:pStyle w:val="TableContents"/>
              <w:bidi w:val="0"/>
              <w:spacing w:before="0" w:after="283"/>
              <w:jc w:val="left"/>
              <w:rPr/>
            </w:pPr>
            <w:r>
              <w:rPr/>
              <w:t>  </w:t>
            </w:r>
          </w:p>
        </w:tc>
        <w:tc>
          <w:tcPr>
            <w:tcW w:w="1340" w:type="dxa"/>
            <w:tcBorders/>
            <w:shd w:fill="CCEEFF" w:val="clear"/>
          </w:tcPr>
          <w:p>
            <w:pPr>
              <w:pStyle w:val="TableContents"/>
              <w:bidi w:val="0"/>
              <w:spacing w:before="0" w:after="283"/>
              <w:jc w:val="center"/>
              <w:rPr/>
            </w:pPr>
            <w:r>
              <w:rPr/>
              <w:t>Containership</w:t>
            </w:r>
          </w:p>
        </w:tc>
        <w:tc>
          <w:tcPr>
            <w:tcW w:w="120" w:type="dxa"/>
            <w:tcBorders/>
            <w:shd w:fill="CCEEFF" w:val="clear"/>
            <w:vAlign w:val="bottom"/>
          </w:tcPr>
          <w:p>
            <w:pPr>
              <w:pStyle w:val="TableContents"/>
              <w:bidi w:val="0"/>
              <w:spacing w:before="0" w:after="283"/>
              <w:jc w:val="left"/>
              <w:rPr/>
            </w:pPr>
            <w:r>
              <w:rPr/>
              <w:t>  </w:t>
            </w:r>
          </w:p>
        </w:tc>
        <w:tc>
          <w:tcPr>
            <w:tcW w:w="515" w:type="dxa"/>
            <w:tcBorders/>
            <w:shd w:fill="CCEEFF" w:val="clear"/>
          </w:tcPr>
          <w:p>
            <w:pPr>
              <w:pStyle w:val="TableContents"/>
              <w:bidi w:val="0"/>
              <w:spacing w:before="0" w:after="283"/>
              <w:jc w:val="center"/>
              <w:rPr/>
            </w:pPr>
            <w:r>
              <w:rPr/>
              <w:t>2007</w:t>
            </w:r>
          </w:p>
        </w:tc>
        <w:tc>
          <w:tcPr>
            <w:tcW w:w="120" w:type="dxa"/>
            <w:tcBorders/>
            <w:shd w:fill="CCEEFF" w:val="clear"/>
            <w:vAlign w:val="bottom"/>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845" w:type="dxa"/>
            <w:tcBorders/>
            <w:shd w:fill="CCEEFF" w:val="clear"/>
          </w:tcPr>
          <w:p>
            <w:pPr>
              <w:pStyle w:val="TableContents"/>
              <w:bidi w:val="0"/>
              <w:spacing w:before="0" w:after="283"/>
              <w:jc w:val="right"/>
              <w:rPr/>
            </w:pPr>
            <w:r>
              <w:rPr/>
              <w:t>3,450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3" w:type="dxa"/>
            <w:tcBorders/>
            <w:shd w:fill="CCEEFF" w:val="clear"/>
          </w:tcPr>
          <w:p>
            <w:pPr>
              <w:pStyle w:val="TableContents"/>
              <w:bidi w:val="0"/>
              <w:spacing w:before="0" w:after="283"/>
              <w:jc w:val="left"/>
              <w:rPr/>
            </w:pPr>
            <w:r>
              <w:rPr/>
              <w:t>$</w:t>
            </w:r>
          </w:p>
        </w:tc>
        <w:tc>
          <w:tcPr>
            <w:tcW w:w="1087" w:type="dxa"/>
            <w:tcBorders/>
            <w:shd w:fill="CCEEFF" w:val="clear"/>
          </w:tcPr>
          <w:p>
            <w:pPr>
              <w:pStyle w:val="TableContents"/>
              <w:bidi w:val="0"/>
              <w:spacing w:before="0" w:after="283"/>
              <w:jc w:val="right"/>
              <w:rPr/>
            </w:pPr>
            <w:r>
              <w:rPr/>
              <w:t>58,500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85" w:type="dxa"/>
            <w:tcBorders/>
            <w:shd w:fill="CCEEFF" w:val="clear"/>
          </w:tcPr>
          <w:p>
            <w:pPr>
              <w:pStyle w:val="TableContents"/>
              <w:bidi w:val="0"/>
              <w:spacing w:before="0" w:after="283"/>
              <w:jc w:val="center"/>
              <w:rPr/>
            </w:pPr>
            <w:r>
              <w:rPr/>
              <w:t>No</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tcPr>
          <w:p>
            <w:pPr>
              <w:pStyle w:val="TableContents"/>
              <w:bidi w:val="0"/>
              <w:spacing w:before="0" w:after="283"/>
              <w:jc w:val="left"/>
              <w:rPr/>
            </w:pPr>
            <w:r>
              <w:rPr/>
              <w:t> </w:t>
            </w:r>
          </w:p>
        </w:tc>
        <w:tc>
          <w:tcPr>
            <w:tcW w:w="1555" w:type="dxa"/>
            <w:tcBorders/>
            <w:shd w:fill="CCEEFF" w:val="clear"/>
          </w:tcPr>
          <w:p>
            <w:pPr>
              <w:pStyle w:val="TableContents"/>
              <w:bidi w:val="0"/>
              <w:spacing w:before="0" w:after="283"/>
              <w:jc w:val="right"/>
              <w:rPr/>
            </w:pPr>
            <w:r>
              <w:rPr/>
              <w:t>May-25</w:t>
            </w:r>
          </w:p>
        </w:tc>
        <w:tc>
          <w:tcPr>
            <w:tcW w:w="60" w:type="dxa"/>
            <w:tcBorders/>
            <w:shd w:fill="CCEEFF" w:val="clear"/>
          </w:tcPr>
          <w:p>
            <w:pPr>
              <w:pStyle w:val="TableContents"/>
              <w:bidi w:val="0"/>
              <w:spacing w:before="0" w:after="283"/>
              <w:jc w:val="left"/>
              <w:rPr/>
            </w:pPr>
            <w:r>
              <w:rPr/>
              <w:t> </w:t>
            </w:r>
          </w:p>
        </w:tc>
        <w:tc>
          <w:tcPr>
            <w:tcW w:w="5830" w:type="dxa"/>
            <w:gridSpan w:val="19"/>
            <w:tcBorders/>
            <w:shd w:fill="CCEEFF" w:val="clear"/>
          </w:tcPr>
          <w:p>
            <w:pPr>
              <w:pStyle w:val="TableContents"/>
              <w:bidi w:val="0"/>
              <w:spacing w:before="0" w:after="283"/>
              <w:jc w:val="left"/>
              <w:rPr>
                <w:sz w:val="4"/>
                <w:szCs w:val="4"/>
              </w:rPr>
            </w:pPr>
            <w:r>
              <w:rPr>
                <w:sz w:val="4"/>
                <w:szCs w:val="4"/>
              </w:rPr>
            </w:r>
          </w:p>
        </w:tc>
      </w:tr>
      <w:tr>
        <w:trPr/>
        <w:tc>
          <w:tcPr>
            <w:tcW w:w="1655" w:type="dxa"/>
            <w:tcBorders/>
          </w:tcPr>
          <w:p>
            <w:pPr>
              <w:pStyle w:val="TableContents"/>
              <w:bidi w:val="0"/>
              <w:spacing w:before="0" w:after="0"/>
              <w:jc w:val="left"/>
              <w:rPr>
                <w:rFonts w:ascii="Times New Roman" w:hAnsi="Times New Roman"/>
                <w:sz w:val="20"/>
              </w:rPr>
            </w:pPr>
            <w:r>
              <w:rPr>
                <w:rFonts w:ascii="Times New Roman" w:hAnsi="Times New Roman"/>
                <w:sz w:val="20"/>
              </w:rPr>
              <w:t>Matson Lanai(5)</w:t>
            </w:r>
          </w:p>
        </w:tc>
        <w:tc>
          <w:tcPr>
            <w:tcW w:w="120" w:type="dxa"/>
            <w:tcBorders/>
            <w:vAlign w:val="bottom"/>
          </w:tcPr>
          <w:p>
            <w:pPr>
              <w:pStyle w:val="TableContents"/>
              <w:bidi w:val="0"/>
              <w:spacing w:before="0" w:after="283"/>
              <w:jc w:val="left"/>
              <w:rPr/>
            </w:pPr>
            <w:r>
              <w:rPr/>
              <w:t>  </w:t>
            </w:r>
          </w:p>
        </w:tc>
        <w:tc>
          <w:tcPr>
            <w:tcW w:w="1340" w:type="dxa"/>
            <w:tcBorders/>
          </w:tcPr>
          <w:p>
            <w:pPr>
              <w:pStyle w:val="TableContents"/>
              <w:bidi w:val="0"/>
              <w:spacing w:before="0" w:after="283"/>
              <w:jc w:val="center"/>
              <w:rPr/>
            </w:pPr>
            <w:r>
              <w:rPr/>
              <w:t>Containership</w:t>
            </w:r>
          </w:p>
        </w:tc>
        <w:tc>
          <w:tcPr>
            <w:tcW w:w="120" w:type="dxa"/>
            <w:tcBorders/>
            <w:vAlign w:val="bottom"/>
          </w:tcPr>
          <w:p>
            <w:pPr>
              <w:pStyle w:val="TableContents"/>
              <w:bidi w:val="0"/>
              <w:spacing w:before="0" w:after="283"/>
              <w:jc w:val="left"/>
              <w:rPr/>
            </w:pPr>
            <w:r>
              <w:rPr/>
              <w:t>  </w:t>
            </w:r>
          </w:p>
        </w:tc>
        <w:tc>
          <w:tcPr>
            <w:tcW w:w="515" w:type="dxa"/>
            <w:tcBorders/>
          </w:tcPr>
          <w:p>
            <w:pPr>
              <w:pStyle w:val="TableContents"/>
              <w:bidi w:val="0"/>
              <w:spacing w:before="0" w:after="283"/>
              <w:jc w:val="center"/>
              <w:rPr/>
            </w:pPr>
            <w:r>
              <w:rPr/>
              <w:t>2007</w:t>
            </w:r>
          </w:p>
        </w:tc>
        <w:tc>
          <w:tcPr>
            <w:tcW w:w="120"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845" w:type="dxa"/>
            <w:tcBorders/>
          </w:tcPr>
          <w:p>
            <w:pPr>
              <w:pStyle w:val="TableContents"/>
              <w:bidi w:val="0"/>
              <w:spacing w:before="0" w:after="283"/>
              <w:jc w:val="right"/>
              <w:rPr/>
            </w:pPr>
            <w:r>
              <w:rPr/>
              <w:t>4,250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3" w:type="dxa"/>
            <w:tcBorders/>
          </w:tcPr>
          <w:p>
            <w:pPr>
              <w:pStyle w:val="TableContents"/>
              <w:bidi w:val="0"/>
              <w:spacing w:before="0" w:after="283"/>
              <w:jc w:val="left"/>
              <w:rPr/>
            </w:pPr>
            <w:r>
              <w:rPr/>
              <w:t>$</w:t>
            </w:r>
          </w:p>
        </w:tc>
        <w:tc>
          <w:tcPr>
            <w:tcW w:w="1087" w:type="dxa"/>
            <w:tcBorders/>
          </w:tcPr>
          <w:p>
            <w:pPr>
              <w:pStyle w:val="TableContents"/>
              <w:bidi w:val="0"/>
              <w:spacing w:before="0" w:after="283"/>
              <w:jc w:val="right"/>
              <w:rPr/>
            </w:pPr>
            <w:r>
              <w:rPr/>
              <w:t>55,794</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5" w:type="dxa"/>
            <w:tcBorders/>
          </w:tcPr>
          <w:p>
            <w:pPr>
              <w:pStyle w:val="TableContents"/>
              <w:bidi w:val="0"/>
              <w:spacing w:before="0" w:after="283"/>
              <w:jc w:val="center"/>
              <w:rPr/>
            </w:pPr>
            <w:r>
              <w:rPr/>
              <w:t>No</w:t>
            </w:r>
          </w:p>
        </w:tc>
        <w:tc>
          <w:tcPr>
            <w:tcW w:w="120" w:type="dxa"/>
            <w:tcBorders/>
            <w:vAlign w:val="bottom"/>
          </w:tcPr>
          <w:p>
            <w:pPr>
              <w:pStyle w:val="TableContents"/>
              <w:bidi w:val="0"/>
              <w:spacing w:before="0" w:after="283"/>
              <w:jc w:val="left"/>
              <w:rPr/>
            </w:pPr>
            <w:r>
              <w:rPr/>
              <w:t>  </w:t>
            </w:r>
          </w:p>
        </w:tc>
        <w:tc>
          <w:tcPr>
            <w:tcW w:w="175" w:type="dxa"/>
            <w:tcBorders/>
          </w:tcPr>
          <w:p>
            <w:pPr>
              <w:pStyle w:val="TableContents"/>
              <w:bidi w:val="0"/>
              <w:spacing w:before="0" w:after="283"/>
              <w:jc w:val="left"/>
              <w:rPr/>
            </w:pPr>
            <w:r>
              <w:rPr/>
              <w:t> </w:t>
            </w:r>
          </w:p>
        </w:tc>
        <w:tc>
          <w:tcPr>
            <w:tcW w:w="1555" w:type="dxa"/>
            <w:tcBorders/>
          </w:tcPr>
          <w:p>
            <w:pPr>
              <w:pStyle w:val="TableContents"/>
              <w:bidi w:val="0"/>
              <w:spacing w:before="0" w:after="283"/>
              <w:jc w:val="right"/>
              <w:rPr/>
            </w:pPr>
            <w:r>
              <w:rPr/>
              <w:t>Jul-25</w:t>
            </w:r>
          </w:p>
        </w:tc>
        <w:tc>
          <w:tcPr>
            <w:tcW w:w="60" w:type="dxa"/>
            <w:tcBorders/>
          </w:tcPr>
          <w:p>
            <w:pPr>
              <w:pStyle w:val="TableContents"/>
              <w:bidi w:val="0"/>
              <w:spacing w:before="0" w:after="283"/>
              <w:jc w:val="left"/>
              <w:rPr/>
            </w:pPr>
            <w:r>
              <w:rPr/>
              <w:t> </w:t>
            </w:r>
          </w:p>
        </w:tc>
        <w:tc>
          <w:tcPr>
            <w:tcW w:w="5830" w:type="dxa"/>
            <w:gridSpan w:val="19"/>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338"/>
        <w:gridCol w:w="136"/>
        <w:gridCol w:w="60"/>
        <w:gridCol w:w="1352"/>
        <w:gridCol w:w="60"/>
        <w:gridCol w:w="136"/>
        <w:gridCol w:w="60"/>
        <w:gridCol w:w="505"/>
        <w:gridCol w:w="60"/>
        <w:gridCol w:w="136"/>
        <w:gridCol w:w="60"/>
        <w:gridCol w:w="683"/>
        <w:gridCol w:w="60"/>
        <w:gridCol w:w="136"/>
        <w:gridCol w:w="140"/>
        <w:gridCol w:w="683"/>
        <w:gridCol w:w="60"/>
        <w:gridCol w:w="136"/>
        <w:gridCol w:w="1510"/>
        <w:gridCol w:w="135"/>
        <w:gridCol w:w="60"/>
        <w:gridCol w:w="633"/>
        <w:gridCol w:w="66"/>
      </w:tblGrid>
      <w:tr>
        <w:trPr/>
        <w:tc>
          <w:tcPr>
            <w:tcW w:w="3338"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Indigo(5)</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352" w:type="dxa"/>
            <w:tcBorders/>
            <w:shd w:fill="CCEEFF" w:val="clear"/>
          </w:tcPr>
          <w:p>
            <w:pPr>
              <w:pStyle w:val="TableContents"/>
              <w:bidi w:val="0"/>
              <w:spacing w:before="0" w:after="283"/>
              <w:jc w:val="right"/>
              <w:rPr/>
            </w:pPr>
            <w:r>
              <w:rPr/>
              <w:t>Containership</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5" w:type="dxa"/>
            <w:tcBorders/>
            <w:shd w:fill="CCEEFF" w:val="clear"/>
          </w:tcPr>
          <w:p>
            <w:pPr>
              <w:pStyle w:val="TableContents"/>
              <w:bidi w:val="0"/>
              <w:spacing w:before="0" w:after="283"/>
              <w:jc w:val="right"/>
              <w:rPr/>
            </w:pPr>
            <w:r>
              <w:rPr/>
              <w:t>2007</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83" w:type="dxa"/>
            <w:tcBorders/>
            <w:shd w:fill="CCEEFF" w:val="clear"/>
          </w:tcPr>
          <w:p>
            <w:pPr>
              <w:pStyle w:val="TableContents"/>
              <w:bidi w:val="0"/>
              <w:spacing w:before="0" w:after="283"/>
              <w:jc w:val="right"/>
              <w:rPr/>
            </w:pPr>
            <w:r>
              <w:rPr/>
              <w:t>4,250</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683" w:type="dxa"/>
            <w:tcBorders/>
            <w:shd w:fill="CCEEFF" w:val="clear"/>
          </w:tcPr>
          <w:p>
            <w:pPr>
              <w:pStyle w:val="TableContents"/>
              <w:bidi w:val="0"/>
              <w:jc w:val="right"/>
              <w:rPr/>
            </w:pPr>
            <w:r>
              <w:rPr/>
              <w:t>43,875</w:t>
            </w:r>
          </w:p>
          <w:p>
            <w:pPr>
              <w:pStyle w:val="TableContents"/>
              <w:bidi w:val="0"/>
              <w:spacing w:before="0" w:after="0"/>
              <w:jc w:val="right"/>
              <w:rPr>
                <w:rFonts w:ascii="Times New Roman" w:hAnsi="Times New Roman"/>
                <w:sz w:val="20"/>
              </w:rPr>
            </w:pPr>
            <w:r>
              <w:rPr>
                <w:rFonts w:ascii="Times New Roman" w:hAnsi="Times New Roman"/>
                <w:sz w:val="20"/>
              </w:rPr>
              <w:t>34,125</w:t>
            </w:r>
          </w:p>
          <w:p>
            <w:pPr>
              <w:pStyle w:val="TableContents"/>
              <w:bidi w:val="0"/>
              <w:spacing w:before="0" w:after="0"/>
              <w:jc w:val="right"/>
              <w:rPr>
                <w:rFonts w:ascii="Times New Roman" w:hAnsi="Times New Roman"/>
                <w:sz w:val="20"/>
              </w:rPr>
            </w:pPr>
            <w:r>
              <w:rPr>
                <w:rFonts w:ascii="Times New Roman" w:hAnsi="Times New Roman"/>
                <w:sz w:val="20"/>
              </w:rPr>
              <w:t>24,375</w:t>
            </w:r>
          </w:p>
          <w:p>
            <w:pPr>
              <w:pStyle w:val="TableContents"/>
              <w:bidi w:val="0"/>
              <w:spacing w:before="0" w:after="20"/>
              <w:jc w:val="right"/>
              <w:rPr>
                <w:rFonts w:ascii="Times New Roman" w:hAnsi="Times New Roman"/>
                <w:sz w:val="20"/>
              </w:rPr>
            </w:pPr>
            <w:r>
              <w:rPr>
                <w:rFonts w:ascii="Times New Roman" w:hAnsi="Times New Roman"/>
                <w:sz w:val="20"/>
              </w:rPr>
              <w:t>41,438</w:t>
            </w:r>
          </w:p>
        </w:tc>
        <w:tc>
          <w:tcPr>
            <w:tcW w:w="60" w:type="dxa"/>
            <w:tcBorders/>
            <w:shd w:fill="CCEEFF" w:val="clea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51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20"/>
              <w:jc w:val="center"/>
              <w:rPr>
                <w:rFonts w:ascii="Times New Roman" w:hAnsi="Times New Roman"/>
                <w:sz w:val="20"/>
              </w:rPr>
            </w:pPr>
            <w:r>
              <w:rPr>
                <w:rFonts w:ascii="Times New Roman" w:hAnsi="Times New Roman"/>
                <w:sz w:val="20"/>
              </w:rPr>
              <w:t>No</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r>
              <w:rPr/>
              <w:br/>
            </w:r>
          </w:p>
        </w:tc>
        <w:tc>
          <w:tcPr>
            <w:tcW w:w="633" w:type="dxa"/>
            <w:tcBorders/>
            <w:shd w:fill="CCEEFF" w:val="clear"/>
          </w:tcPr>
          <w:p>
            <w:pPr>
              <w:pStyle w:val="TableContents"/>
              <w:bidi w:val="0"/>
              <w:spacing w:before="0" w:after="283"/>
              <w:jc w:val="right"/>
              <w:rPr/>
            </w:pPr>
            <w:r>
              <w:rPr/>
              <w:t>Apr-24</w:t>
              <w:br/>
              <w:t>Apr-25</w:t>
              <w:br/>
              <w:t>Apr-26</w:t>
              <w:br/>
              <w:t>Aug-26</w:t>
            </w:r>
          </w:p>
        </w:tc>
        <w:tc>
          <w:tcPr>
            <w:tcW w:w="66" w:type="dxa"/>
            <w:tcBorders/>
            <w:shd w:fill="CCEEFF" w:val="clear"/>
          </w:tcPr>
          <w:p>
            <w:pPr>
              <w:pStyle w:val="TableContents"/>
              <w:bidi w:val="0"/>
              <w:spacing w:before="0" w:after="283"/>
              <w:jc w:val="left"/>
              <w:rPr/>
            </w:pPr>
            <w:r>
              <w:rPr/>
              <w:br/>
              <w:br/>
              <w:br/>
              <w:t> </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Navios Vermilion(5)</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352" w:type="dxa"/>
            <w:tcBorders/>
          </w:tcPr>
          <w:p>
            <w:pPr>
              <w:pStyle w:val="TableContents"/>
              <w:bidi w:val="0"/>
              <w:spacing w:before="0" w:after="283"/>
              <w:jc w:val="right"/>
              <w:rPr/>
            </w:pPr>
            <w:r>
              <w:rPr/>
              <w:t>Containership</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5" w:type="dxa"/>
            <w:tcBorders/>
          </w:tcPr>
          <w:p>
            <w:pPr>
              <w:pStyle w:val="TableContents"/>
              <w:bidi w:val="0"/>
              <w:spacing w:before="0" w:after="283"/>
              <w:jc w:val="right"/>
              <w:rPr/>
            </w:pPr>
            <w:r>
              <w:rPr/>
              <w:t>2007</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83" w:type="dxa"/>
            <w:tcBorders/>
          </w:tcPr>
          <w:p>
            <w:pPr>
              <w:pStyle w:val="TableContents"/>
              <w:bidi w:val="0"/>
              <w:spacing w:before="0" w:after="283"/>
              <w:jc w:val="right"/>
              <w:rPr/>
            </w:pPr>
            <w:r>
              <w:rPr/>
              <w:t>4,250</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683" w:type="dxa"/>
            <w:tcBorders/>
          </w:tcPr>
          <w:p>
            <w:pPr>
              <w:pStyle w:val="TableContents"/>
              <w:bidi w:val="0"/>
              <w:jc w:val="right"/>
              <w:rPr/>
            </w:pPr>
            <w:r>
              <w:rPr/>
              <w:t>45,425</w:t>
            </w:r>
          </w:p>
          <w:p>
            <w:pPr>
              <w:pStyle w:val="TableContents"/>
              <w:bidi w:val="0"/>
              <w:spacing w:before="0" w:after="0"/>
              <w:jc w:val="right"/>
              <w:rPr>
                <w:rFonts w:ascii="Times New Roman" w:hAnsi="Times New Roman"/>
                <w:sz w:val="20"/>
              </w:rPr>
            </w:pPr>
            <w:r>
              <w:rPr>
                <w:rFonts w:ascii="Times New Roman" w:hAnsi="Times New Roman"/>
                <w:sz w:val="20"/>
              </w:rPr>
              <w:t>23,972</w:t>
            </w:r>
          </w:p>
          <w:p>
            <w:pPr>
              <w:pStyle w:val="TableContents"/>
              <w:bidi w:val="0"/>
              <w:spacing w:before="0" w:after="20"/>
              <w:jc w:val="right"/>
              <w:rPr>
                <w:rFonts w:ascii="Times New Roman" w:hAnsi="Times New Roman"/>
                <w:sz w:val="20"/>
              </w:rPr>
            </w:pPr>
            <w:r>
              <w:rPr>
                <w:rFonts w:ascii="Times New Roman" w:hAnsi="Times New Roman"/>
                <w:sz w:val="20"/>
              </w:rPr>
              <w:t>41,722</w:t>
            </w:r>
          </w:p>
        </w:tc>
        <w:tc>
          <w:tcPr>
            <w:tcW w:w="60" w:type="dxa"/>
            <w:tcBorders/>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6"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20"/>
              <w:jc w:val="center"/>
              <w:rPr>
                <w:rFonts w:ascii="Times New Roman" w:hAnsi="Times New Roman"/>
                <w:sz w:val="20"/>
              </w:rPr>
            </w:pPr>
            <w:r>
              <w:rPr>
                <w:rFonts w:ascii="Times New Roman" w:hAnsi="Times New Roman"/>
                <w:sz w:val="20"/>
              </w:rPr>
              <w:t>No</w:t>
            </w:r>
          </w:p>
        </w:tc>
        <w:tc>
          <w:tcPr>
            <w:tcW w:w="13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33" w:type="dxa"/>
            <w:tcBorders/>
          </w:tcPr>
          <w:p>
            <w:pPr>
              <w:pStyle w:val="TableContents"/>
              <w:bidi w:val="0"/>
              <w:spacing w:before="0" w:after="283"/>
              <w:jc w:val="right"/>
              <w:rPr/>
            </w:pPr>
            <w:r>
              <w:rPr/>
              <w:t>Dec-23</w:t>
              <w:br/>
              <w:t>Nov-24</w:t>
              <w:br/>
              <w:t>Dec-24</w:t>
            </w:r>
          </w:p>
        </w:tc>
        <w:tc>
          <w:tcPr>
            <w:tcW w:w="66" w:type="dxa"/>
            <w:tcBorders/>
          </w:tcPr>
          <w:p>
            <w:pPr>
              <w:pStyle w:val="TableContents"/>
              <w:bidi w:val="0"/>
              <w:spacing w:before="0" w:after="283"/>
              <w:jc w:val="left"/>
              <w:rPr/>
            </w:pPr>
            <w:r>
              <w:rPr/>
              <w:br/>
              <w:br/>
              <w:t> </w:t>
            </w:r>
          </w:p>
        </w:tc>
      </w:tr>
      <w:tr>
        <w:trPr/>
        <w:tc>
          <w:tcPr>
            <w:tcW w:w="3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Verde(5)</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352" w:type="dxa"/>
            <w:tcBorders/>
            <w:shd w:fill="CCEEFF" w:val="clear"/>
          </w:tcPr>
          <w:p>
            <w:pPr>
              <w:pStyle w:val="TableContents"/>
              <w:bidi w:val="0"/>
              <w:spacing w:before="0" w:after="283"/>
              <w:jc w:val="right"/>
              <w:rPr/>
            </w:pPr>
            <w:r>
              <w:rPr/>
              <w:t>Containership</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5" w:type="dxa"/>
            <w:tcBorders/>
            <w:shd w:fill="CCEEFF" w:val="clear"/>
          </w:tcPr>
          <w:p>
            <w:pPr>
              <w:pStyle w:val="TableContents"/>
              <w:bidi w:val="0"/>
              <w:spacing w:before="0" w:after="283"/>
              <w:jc w:val="right"/>
              <w:rPr/>
            </w:pPr>
            <w:r>
              <w:rPr/>
              <w:t>2007</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83" w:type="dxa"/>
            <w:tcBorders/>
            <w:shd w:fill="CCEEFF" w:val="clear"/>
          </w:tcPr>
          <w:p>
            <w:pPr>
              <w:pStyle w:val="TableContents"/>
              <w:bidi w:val="0"/>
              <w:spacing w:before="0" w:after="283"/>
              <w:jc w:val="right"/>
              <w:rPr/>
            </w:pPr>
            <w:r>
              <w:rPr/>
              <w:t>4,250</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jc w:val="left"/>
              <w:rPr/>
            </w:pPr>
            <w:r>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683" w:type="dxa"/>
            <w:tcBorders/>
            <w:shd w:fill="CCEEFF" w:val="clear"/>
          </w:tcPr>
          <w:p>
            <w:pPr>
              <w:pStyle w:val="TableContents"/>
              <w:bidi w:val="0"/>
              <w:jc w:val="right"/>
              <w:rPr/>
            </w:pPr>
            <w:r>
              <w:rPr/>
              <w:t>20,845</w:t>
            </w:r>
          </w:p>
          <w:p>
            <w:pPr>
              <w:pStyle w:val="TableContents"/>
              <w:bidi w:val="0"/>
              <w:spacing w:before="0" w:after="20"/>
              <w:jc w:val="right"/>
              <w:rPr>
                <w:rFonts w:ascii="Times New Roman" w:hAnsi="Times New Roman"/>
                <w:sz w:val="20"/>
              </w:rPr>
            </w:pPr>
            <w:r>
              <w:rPr>
                <w:rFonts w:ascii="Times New Roman" w:hAnsi="Times New Roman"/>
                <w:sz w:val="20"/>
              </w:rPr>
              <w:t>21,725</w:t>
            </w:r>
          </w:p>
        </w:tc>
        <w:tc>
          <w:tcPr>
            <w:tcW w:w="60" w:type="dxa"/>
            <w:tcBorders/>
            <w:shd w:fill="CCEEFF" w:val="clear"/>
          </w:tcPr>
          <w:p>
            <w:pPr>
              <w:pStyle w:val="TableContents"/>
              <w:bidi w:val="0"/>
              <w:jc w:val="left"/>
              <w:rPr/>
            </w:pPr>
            <w:r>
              <w:rPr/>
              <w:t> </w:t>
            </w:r>
          </w:p>
          <w:p>
            <w:pPr>
              <w:pStyle w:val="TableContents"/>
              <w:bidi w:val="0"/>
              <w:spacing w:before="0" w:after="20"/>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51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20"/>
              <w:jc w:val="center"/>
              <w:rPr>
                <w:rFonts w:ascii="Times New Roman" w:hAnsi="Times New Roman"/>
                <w:sz w:val="20"/>
              </w:rPr>
            </w:pPr>
            <w:r>
              <w:rPr>
                <w:rFonts w:ascii="Times New Roman" w:hAnsi="Times New Roman"/>
                <w:sz w:val="20"/>
              </w:rPr>
              <w:t>No</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33" w:type="dxa"/>
            <w:tcBorders/>
            <w:shd w:fill="CCEEFF" w:val="clear"/>
          </w:tcPr>
          <w:p>
            <w:pPr>
              <w:pStyle w:val="TableContents"/>
              <w:bidi w:val="0"/>
              <w:jc w:val="right"/>
              <w:rPr/>
            </w:pPr>
            <w:r>
              <w:rPr/>
              <w:t>May-23</w:t>
            </w:r>
          </w:p>
          <w:p>
            <w:pPr>
              <w:pStyle w:val="TableContents"/>
              <w:bidi w:val="0"/>
              <w:spacing w:before="0" w:after="20"/>
              <w:jc w:val="right"/>
              <w:rPr>
                <w:rFonts w:ascii="Times New Roman" w:hAnsi="Times New Roman"/>
                <w:sz w:val="20"/>
              </w:rPr>
            </w:pPr>
            <w:r>
              <w:rPr>
                <w:rFonts w:ascii="Times New Roman" w:hAnsi="Times New Roman"/>
                <w:sz w:val="20"/>
              </w:rPr>
              <w:t>Apr-25</w:t>
            </w:r>
          </w:p>
        </w:tc>
        <w:tc>
          <w:tcPr>
            <w:tcW w:w="66" w:type="dxa"/>
            <w:tcBorders/>
            <w:shd w:fill="CCEEFF" w:val="clear"/>
          </w:tcPr>
          <w:p>
            <w:pPr>
              <w:pStyle w:val="TableContents"/>
              <w:bidi w:val="0"/>
              <w:jc w:val="left"/>
              <w:rPr/>
            </w:pPr>
            <w:r>
              <w:rPr/>
              <w:t> </w:t>
            </w:r>
          </w:p>
          <w:p>
            <w:pPr>
              <w:pStyle w:val="TableContents"/>
              <w:bidi w:val="0"/>
              <w:spacing w:before="0" w:after="20"/>
              <w:jc w:val="left"/>
              <w:rPr/>
            </w:pPr>
            <w:r>
              <w:rPr/>
              <w:t> </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Navios Amarillo(5)</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352" w:type="dxa"/>
            <w:tcBorders/>
          </w:tcPr>
          <w:p>
            <w:pPr>
              <w:pStyle w:val="TableContents"/>
              <w:bidi w:val="0"/>
              <w:spacing w:before="0" w:after="283"/>
              <w:jc w:val="right"/>
              <w:rPr/>
            </w:pPr>
            <w:r>
              <w:rPr/>
              <w:t>Containership</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5" w:type="dxa"/>
            <w:tcBorders/>
          </w:tcPr>
          <w:p>
            <w:pPr>
              <w:pStyle w:val="TableContents"/>
              <w:bidi w:val="0"/>
              <w:spacing w:before="0" w:after="283"/>
              <w:jc w:val="right"/>
              <w:rPr/>
            </w:pPr>
            <w:r>
              <w:rPr/>
              <w:t>2007</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83" w:type="dxa"/>
            <w:tcBorders/>
          </w:tcPr>
          <w:p>
            <w:pPr>
              <w:pStyle w:val="TableContents"/>
              <w:bidi w:val="0"/>
              <w:spacing w:before="0" w:after="283"/>
              <w:jc w:val="right"/>
              <w:rPr/>
            </w:pPr>
            <w:r>
              <w:rPr/>
              <w:t>4,250</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683" w:type="dxa"/>
            <w:tcBorders/>
          </w:tcPr>
          <w:p>
            <w:pPr>
              <w:pStyle w:val="TableContents"/>
              <w:bidi w:val="0"/>
              <w:jc w:val="right"/>
              <w:rPr/>
            </w:pPr>
            <w:r>
              <w:rPr/>
              <w:t>92,381</w:t>
            </w:r>
          </w:p>
          <w:p>
            <w:pPr>
              <w:pStyle w:val="TableContents"/>
              <w:bidi w:val="0"/>
              <w:spacing w:before="0" w:after="0"/>
              <w:jc w:val="right"/>
              <w:rPr>
                <w:rFonts w:ascii="Times New Roman" w:hAnsi="Times New Roman"/>
                <w:sz w:val="20"/>
              </w:rPr>
            </w:pPr>
            <w:r>
              <w:rPr>
                <w:rFonts w:ascii="Times New Roman" w:hAnsi="Times New Roman"/>
                <w:sz w:val="20"/>
              </w:rPr>
              <w:t>63,956</w:t>
            </w:r>
          </w:p>
          <w:p>
            <w:pPr>
              <w:pStyle w:val="TableContents"/>
              <w:bidi w:val="0"/>
              <w:spacing w:before="0" w:after="0"/>
              <w:jc w:val="right"/>
              <w:rPr>
                <w:rFonts w:ascii="Times New Roman" w:hAnsi="Times New Roman"/>
                <w:sz w:val="20"/>
              </w:rPr>
            </w:pPr>
            <w:r>
              <w:rPr>
                <w:rFonts w:ascii="Times New Roman" w:hAnsi="Times New Roman"/>
                <w:sz w:val="20"/>
              </w:rPr>
              <w:t>28,425</w:t>
            </w:r>
          </w:p>
          <w:p>
            <w:pPr>
              <w:pStyle w:val="TableContents"/>
              <w:bidi w:val="0"/>
              <w:spacing w:before="0" w:after="20"/>
              <w:jc w:val="right"/>
              <w:rPr>
                <w:rFonts w:ascii="Times New Roman" w:hAnsi="Times New Roman"/>
                <w:sz w:val="20"/>
              </w:rPr>
            </w:pPr>
            <w:r>
              <w:rPr>
                <w:rFonts w:ascii="Times New Roman" w:hAnsi="Times New Roman"/>
                <w:sz w:val="20"/>
              </w:rPr>
              <w:t>9,475</w:t>
            </w:r>
          </w:p>
        </w:tc>
        <w:tc>
          <w:tcPr>
            <w:tcW w:w="60" w:type="dxa"/>
            <w:tcBorders/>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6"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20"/>
              <w:jc w:val="center"/>
              <w:rPr>
                <w:rFonts w:ascii="Times New Roman" w:hAnsi="Times New Roman"/>
                <w:sz w:val="20"/>
              </w:rPr>
            </w:pPr>
            <w:r>
              <w:rPr>
                <w:rFonts w:ascii="Times New Roman" w:hAnsi="Times New Roman"/>
                <w:sz w:val="20"/>
              </w:rPr>
              <w:t>No</w:t>
              <w:br/>
              <w:t>No</w:t>
            </w:r>
          </w:p>
        </w:tc>
        <w:tc>
          <w:tcPr>
            <w:tcW w:w="13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r>
              <w:rPr/>
              <w:br/>
            </w:r>
          </w:p>
        </w:tc>
        <w:tc>
          <w:tcPr>
            <w:tcW w:w="633" w:type="dxa"/>
            <w:tcBorders/>
          </w:tcPr>
          <w:p>
            <w:pPr>
              <w:pStyle w:val="TableContents"/>
              <w:bidi w:val="0"/>
              <w:spacing w:before="0" w:after="283"/>
              <w:jc w:val="right"/>
              <w:rPr/>
            </w:pPr>
            <w:r>
              <w:rPr/>
              <w:t>Jan-24</w:t>
              <w:br/>
              <w:t>Jan-25</w:t>
              <w:br/>
              <w:t>Jan-26</w:t>
              <w:br/>
              <w:t>Jan-28</w:t>
            </w:r>
          </w:p>
        </w:tc>
        <w:tc>
          <w:tcPr>
            <w:tcW w:w="66" w:type="dxa"/>
            <w:tcBorders/>
          </w:tcPr>
          <w:p>
            <w:pPr>
              <w:pStyle w:val="TableContents"/>
              <w:bidi w:val="0"/>
              <w:spacing w:before="0" w:after="283"/>
              <w:jc w:val="left"/>
              <w:rPr/>
            </w:pPr>
            <w:r>
              <w:rPr/>
              <w:br/>
              <w:br/>
              <w:br/>
              <w:t> </w:t>
            </w:r>
          </w:p>
        </w:tc>
      </w:tr>
      <w:tr>
        <w:trPr/>
        <w:tc>
          <w:tcPr>
            <w:tcW w:w="3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Azure(5)</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352" w:type="dxa"/>
            <w:tcBorders/>
            <w:shd w:fill="CCEEFF" w:val="clear"/>
          </w:tcPr>
          <w:p>
            <w:pPr>
              <w:pStyle w:val="TableContents"/>
              <w:bidi w:val="0"/>
              <w:spacing w:before="0" w:after="283"/>
              <w:jc w:val="right"/>
              <w:rPr/>
            </w:pPr>
            <w:r>
              <w:rPr/>
              <w:t>Containership</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5" w:type="dxa"/>
            <w:tcBorders/>
            <w:shd w:fill="CCEEFF" w:val="clear"/>
          </w:tcPr>
          <w:p>
            <w:pPr>
              <w:pStyle w:val="TableContents"/>
              <w:bidi w:val="0"/>
              <w:spacing w:before="0" w:after="283"/>
              <w:jc w:val="right"/>
              <w:rPr/>
            </w:pPr>
            <w:r>
              <w:rPr/>
              <w:t>2007</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83" w:type="dxa"/>
            <w:tcBorders/>
            <w:shd w:fill="CCEEFF" w:val="clear"/>
          </w:tcPr>
          <w:p>
            <w:pPr>
              <w:pStyle w:val="TableContents"/>
              <w:bidi w:val="0"/>
              <w:spacing w:before="0" w:after="283"/>
              <w:jc w:val="right"/>
              <w:rPr/>
            </w:pPr>
            <w:r>
              <w:rPr/>
              <w:t>4,250</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jc w:val="left"/>
              <w:rPr/>
            </w:pPr>
            <w:r>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683" w:type="dxa"/>
            <w:tcBorders/>
            <w:shd w:fill="CCEEFF" w:val="clear"/>
          </w:tcPr>
          <w:p>
            <w:pPr>
              <w:pStyle w:val="TableContents"/>
              <w:bidi w:val="0"/>
              <w:jc w:val="right"/>
              <w:rPr/>
            </w:pPr>
            <w:r>
              <w:rPr/>
              <w:t>22,195</w:t>
            </w:r>
          </w:p>
          <w:p>
            <w:pPr>
              <w:pStyle w:val="TableContents"/>
              <w:bidi w:val="0"/>
              <w:spacing w:before="0" w:after="20"/>
              <w:jc w:val="right"/>
              <w:rPr>
                <w:rFonts w:ascii="Times New Roman" w:hAnsi="Times New Roman"/>
                <w:sz w:val="20"/>
              </w:rPr>
            </w:pPr>
            <w:r>
              <w:rPr>
                <w:rFonts w:ascii="Times New Roman" w:hAnsi="Times New Roman"/>
                <w:sz w:val="20"/>
              </w:rPr>
              <w:t>20,748</w:t>
            </w:r>
          </w:p>
        </w:tc>
        <w:tc>
          <w:tcPr>
            <w:tcW w:w="60" w:type="dxa"/>
            <w:tcBorders/>
            <w:shd w:fill="CCEEFF" w:val="clear"/>
          </w:tcPr>
          <w:p>
            <w:pPr>
              <w:pStyle w:val="TableContents"/>
              <w:bidi w:val="0"/>
              <w:jc w:val="left"/>
              <w:rPr/>
            </w:pPr>
            <w:r>
              <w:rPr/>
              <w:t> </w:t>
            </w:r>
          </w:p>
          <w:p>
            <w:pPr>
              <w:pStyle w:val="TableContents"/>
              <w:bidi w:val="0"/>
              <w:spacing w:before="0" w:after="20"/>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51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20"/>
              <w:jc w:val="center"/>
              <w:rPr>
                <w:rFonts w:ascii="Times New Roman" w:hAnsi="Times New Roman"/>
                <w:sz w:val="20"/>
              </w:rPr>
            </w:pPr>
            <w:r>
              <w:rPr>
                <w:rFonts w:ascii="Times New Roman" w:hAnsi="Times New Roman"/>
                <w:sz w:val="20"/>
              </w:rPr>
              <w:t>No</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33" w:type="dxa"/>
            <w:tcBorders/>
            <w:shd w:fill="CCEEFF" w:val="clear"/>
          </w:tcPr>
          <w:p>
            <w:pPr>
              <w:pStyle w:val="TableContents"/>
              <w:bidi w:val="0"/>
              <w:jc w:val="right"/>
              <w:rPr/>
            </w:pPr>
            <w:r>
              <w:rPr/>
              <w:t>May-23</w:t>
            </w:r>
          </w:p>
          <w:p>
            <w:pPr>
              <w:pStyle w:val="TableContents"/>
              <w:bidi w:val="0"/>
              <w:spacing w:before="0" w:after="20"/>
              <w:jc w:val="right"/>
              <w:rPr>
                <w:rFonts w:ascii="Times New Roman" w:hAnsi="Times New Roman"/>
                <w:sz w:val="20"/>
              </w:rPr>
            </w:pPr>
            <w:r>
              <w:rPr>
                <w:rFonts w:ascii="Times New Roman" w:hAnsi="Times New Roman"/>
                <w:sz w:val="20"/>
              </w:rPr>
              <w:t>Apr-26</w:t>
            </w:r>
          </w:p>
        </w:tc>
        <w:tc>
          <w:tcPr>
            <w:tcW w:w="66" w:type="dxa"/>
            <w:tcBorders/>
            <w:shd w:fill="CCEEFF" w:val="clear"/>
          </w:tcPr>
          <w:p>
            <w:pPr>
              <w:pStyle w:val="TableContents"/>
              <w:bidi w:val="0"/>
              <w:jc w:val="left"/>
              <w:rPr/>
            </w:pPr>
            <w:r>
              <w:rPr/>
              <w:t> </w:t>
            </w:r>
          </w:p>
          <w:p>
            <w:pPr>
              <w:pStyle w:val="TableContents"/>
              <w:bidi w:val="0"/>
              <w:spacing w:before="0" w:after="20"/>
              <w:jc w:val="left"/>
              <w:rPr/>
            </w:pPr>
            <w:r>
              <w:rPr/>
              <w:t> </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Navios Domino(5)</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352" w:type="dxa"/>
            <w:tcBorders/>
          </w:tcPr>
          <w:p>
            <w:pPr>
              <w:pStyle w:val="TableContents"/>
              <w:bidi w:val="0"/>
              <w:spacing w:before="0" w:after="283"/>
              <w:jc w:val="right"/>
              <w:rPr/>
            </w:pPr>
            <w:r>
              <w:rPr/>
              <w:t>Containership</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5" w:type="dxa"/>
            <w:tcBorders/>
          </w:tcPr>
          <w:p>
            <w:pPr>
              <w:pStyle w:val="TableContents"/>
              <w:bidi w:val="0"/>
              <w:spacing w:before="0" w:after="283"/>
              <w:jc w:val="right"/>
              <w:rPr/>
            </w:pPr>
            <w:r>
              <w:rPr/>
              <w:t>2008</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83" w:type="dxa"/>
            <w:tcBorders/>
          </w:tcPr>
          <w:p>
            <w:pPr>
              <w:pStyle w:val="TableContents"/>
              <w:bidi w:val="0"/>
              <w:spacing w:before="0" w:after="283"/>
              <w:jc w:val="right"/>
              <w:rPr/>
            </w:pPr>
            <w:r>
              <w:rPr/>
              <w:t>4,250</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683" w:type="dxa"/>
            <w:tcBorders/>
          </w:tcPr>
          <w:p>
            <w:pPr>
              <w:pStyle w:val="TableContents"/>
              <w:bidi w:val="0"/>
              <w:spacing w:before="0" w:after="283"/>
              <w:jc w:val="right"/>
              <w:rPr/>
            </w:pPr>
            <w:r>
              <w:rPr/>
              <w:t>24,934</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center"/>
              <w:rPr/>
            </w:pPr>
            <w:r>
              <w:rPr/>
              <w:t>No</w:t>
            </w:r>
          </w:p>
        </w:tc>
        <w:tc>
          <w:tcPr>
            <w:tcW w:w="13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33" w:type="dxa"/>
            <w:tcBorders/>
          </w:tcPr>
          <w:p>
            <w:pPr>
              <w:pStyle w:val="TableContents"/>
              <w:bidi w:val="0"/>
              <w:spacing w:before="0" w:after="283"/>
              <w:jc w:val="right"/>
              <w:rPr/>
            </w:pPr>
            <w:r>
              <w:rPr/>
              <w:t>May-23</w:t>
            </w:r>
          </w:p>
        </w:tc>
        <w:tc>
          <w:tcPr>
            <w:tcW w:w="66" w:type="dxa"/>
            <w:tcBorders/>
          </w:tcPr>
          <w:p>
            <w:pPr>
              <w:pStyle w:val="TableContents"/>
              <w:bidi w:val="0"/>
              <w:spacing w:before="0" w:after="283"/>
              <w:jc w:val="left"/>
              <w:rPr/>
            </w:pPr>
            <w:r>
              <w:rPr/>
              <w:t> </w:t>
            </w:r>
          </w:p>
        </w:tc>
      </w:tr>
      <w:tr>
        <w:trPr/>
        <w:tc>
          <w:tcPr>
            <w:tcW w:w="3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Delight(5)</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352" w:type="dxa"/>
            <w:tcBorders/>
            <w:shd w:fill="CCEEFF" w:val="clear"/>
          </w:tcPr>
          <w:p>
            <w:pPr>
              <w:pStyle w:val="TableContents"/>
              <w:bidi w:val="0"/>
              <w:spacing w:before="0" w:after="283"/>
              <w:jc w:val="right"/>
              <w:rPr/>
            </w:pPr>
            <w:r>
              <w:rPr/>
              <w:t>Containership</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5" w:type="dxa"/>
            <w:tcBorders/>
            <w:shd w:fill="CCEEFF" w:val="clear"/>
          </w:tcPr>
          <w:p>
            <w:pPr>
              <w:pStyle w:val="TableContents"/>
              <w:bidi w:val="0"/>
              <w:spacing w:before="0" w:after="283"/>
              <w:jc w:val="right"/>
              <w:rPr/>
            </w:pPr>
            <w:r>
              <w:rPr/>
              <w:t>2008</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83" w:type="dxa"/>
            <w:tcBorders/>
            <w:shd w:fill="CCEEFF" w:val="clear"/>
          </w:tcPr>
          <w:p>
            <w:pPr>
              <w:pStyle w:val="TableContents"/>
              <w:bidi w:val="0"/>
              <w:spacing w:before="0" w:after="283"/>
              <w:jc w:val="right"/>
              <w:rPr/>
            </w:pPr>
            <w:r>
              <w:rPr/>
              <w:t>4,250</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683" w:type="dxa"/>
            <w:tcBorders/>
            <w:shd w:fill="CCEEFF" w:val="clear"/>
          </w:tcPr>
          <w:p>
            <w:pPr>
              <w:pStyle w:val="TableContents"/>
              <w:bidi w:val="0"/>
              <w:spacing w:before="0" w:after="283"/>
              <w:jc w:val="right"/>
              <w:rPr/>
            </w:pPr>
            <w:r>
              <w:rPr/>
              <w:t>45,425</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510" w:type="dxa"/>
            <w:tcBorders/>
            <w:shd w:fill="CCEEFF" w:val="clear"/>
          </w:tcPr>
          <w:p>
            <w:pPr>
              <w:pStyle w:val="TableContents"/>
              <w:bidi w:val="0"/>
              <w:spacing w:before="0" w:after="283"/>
              <w:jc w:val="center"/>
              <w:rPr/>
            </w:pPr>
            <w:r>
              <w:rPr/>
              <w:t>No</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33" w:type="dxa"/>
            <w:tcBorders/>
            <w:shd w:fill="CCEEFF" w:val="clear"/>
          </w:tcPr>
          <w:p>
            <w:pPr>
              <w:pStyle w:val="TableContents"/>
              <w:bidi w:val="0"/>
              <w:spacing w:before="0" w:after="283"/>
              <w:jc w:val="right"/>
              <w:rPr/>
            </w:pPr>
            <w:r>
              <w:rPr/>
              <w:t>Jan-24</w:t>
            </w:r>
          </w:p>
        </w:tc>
        <w:tc>
          <w:tcPr>
            <w:tcW w:w="66" w:type="dxa"/>
            <w:tcBorders/>
            <w:shd w:fill="CCEEFF" w:val="clear"/>
          </w:tcPr>
          <w:p>
            <w:pPr>
              <w:pStyle w:val="TableContents"/>
              <w:bidi w:val="0"/>
              <w:spacing w:before="0" w:after="283"/>
              <w:jc w:val="left"/>
              <w:rPr/>
            </w:pPr>
            <w:r>
              <w:rPr/>
              <w:t> </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Navios Magnolia</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352" w:type="dxa"/>
            <w:tcBorders/>
          </w:tcPr>
          <w:p>
            <w:pPr>
              <w:pStyle w:val="TableContents"/>
              <w:bidi w:val="0"/>
              <w:spacing w:before="0" w:after="283"/>
              <w:jc w:val="right"/>
              <w:rPr/>
            </w:pPr>
            <w:r>
              <w:rPr/>
              <w:t>Containership</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5" w:type="dxa"/>
            <w:tcBorders/>
          </w:tcPr>
          <w:p>
            <w:pPr>
              <w:pStyle w:val="TableContents"/>
              <w:bidi w:val="0"/>
              <w:spacing w:before="0" w:after="283"/>
              <w:jc w:val="right"/>
              <w:rPr/>
            </w:pPr>
            <w:r>
              <w:rPr/>
              <w:t>2008</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83" w:type="dxa"/>
            <w:tcBorders/>
          </w:tcPr>
          <w:p>
            <w:pPr>
              <w:pStyle w:val="TableContents"/>
              <w:bidi w:val="0"/>
              <w:spacing w:before="0" w:after="283"/>
              <w:jc w:val="right"/>
              <w:rPr/>
            </w:pPr>
            <w:r>
              <w:rPr/>
              <w:t>4,730</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683" w:type="dxa"/>
            <w:tcBorders/>
          </w:tcPr>
          <w:p>
            <w:pPr>
              <w:pStyle w:val="TableContents"/>
              <w:bidi w:val="0"/>
              <w:jc w:val="right"/>
              <w:rPr/>
            </w:pPr>
            <w:r>
              <w:rPr/>
              <w:t>45,425</w:t>
            </w:r>
          </w:p>
          <w:p>
            <w:pPr>
              <w:pStyle w:val="TableContents"/>
              <w:bidi w:val="0"/>
              <w:spacing w:before="0" w:after="0"/>
              <w:jc w:val="right"/>
              <w:rPr>
                <w:rFonts w:ascii="Times New Roman" w:hAnsi="Times New Roman"/>
                <w:sz w:val="20"/>
              </w:rPr>
            </w:pPr>
            <w:r>
              <w:rPr>
                <w:rFonts w:ascii="Times New Roman" w:hAnsi="Times New Roman"/>
                <w:sz w:val="20"/>
              </w:rPr>
              <w:t>23,972</w:t>
            </w:r>
          </w:p>
          <w:p>
            <w:pPr>
              <w:pStyle w:val="TableContents"/>
              <w:bidi w:val="0"/>
              <w:spacing w:before="0" w:after="20"/>
              <w:jc w:val="right"/>
              <w:rPr>
                <w:rFonts w:ascii="Times New Roman" w:hAnsi="Times New Roman"/>
                <w:sz w:val="20"/>
              </w:rPr>
            </w:pPr>
            <w:r>
              <w:rPr>
                <w:rFonts w:ascii="Times New Roman" w:hAnsi="Times New Roman"/>
                <w:sz w:val="20"/>
              </w:rPr>
              <w:t>41,722</w:t>
            </w:r>
          </w:p>
        </w:tc>
        <w:tc>
          <w:tcPr>
            <w:tcW w:w="60" w:type="dxa"/>
            <w:tcBorders/>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6"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20"/>
              <w:jc w:val="center"/>
              <w:rPr>
                <w:rFonts w:ascii="Times New Roman" w:hAnsi="Times New Roman"/>
                <w:sz w:val="20"/>
              </w:rPr>
            </w:pPr>
            <w:r>
              <w:rPr>
                <w:rFonts w:ascii="Times New Roman" w:hAnsi="Times New Roman"/>
                <w:sz w:val="20"/>
              </w:rPr>
              <w:t>No</w:t>
              <w:br/>
              <w:t>No</w:t>
            </w:r>
          </w:p>
        </w:tc>
        <w:tc>
          <w:tcPr>
            <w:tcW w:w="13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33" w:type="dxa"/>
            <w:tcBorders/>
          </w:tcPr>
          <w:p>
            <w:pPr>
              <w:pStyle w:val="TableContents"/>
              <w:bidi w:val="0"/>
              <w:spacing w:before="0" w:after="283"/>
              <w:jc w:val="right"/>
              <w:rPr/>
            </w:pPr>
            <w:r>
              <w:rPr/>
              <w:t>Nov-23</w:t>
              <w:br/>
              <w:t>Oct-24</w:t>
              <w:br/>
              <w:t>Nov-24</w:t>
            </w:r>
          </w:p>
        </w:tc>
        <w:tc>
          <w:tcPr>
            <w:tcW w:w="66" w:type="dxa"/>
            <w:tcBorders/>
          </w:tcPr>
          <w:p>
            <w:pPr>
              <w:pStyle w:val="TableContents"/>
              <w:bidi w:val="0"/>
              <w:spacing w:before="0" w:after="283"/>
              <w:jc w:val="left"/>
              <w:rPr/>
            </w:pPr>
            <w:r>
              <w:rPr/>
              <w:br/>
              <w:br/>
              <w:t> </w:t>
            </w:r>
          </w:p>
        </w:tc>
      </w:tr>
      <w:tr>
        <w:trPr/>
        <w:tc>
          <w:tcPr>
            <w:tcW w:w="3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Jasmine</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352" w:type="dxa"/>
            <w:tcBorders/>
            <w:shd w:fill="CCEEFF" w:val="clear"/>
          </w:tcPr>
          <w:p>
            <w:pPr>
              <w:pStyle w:val="TableContents"/>
              <w:bidi w:val="0"/>
              <w:spacing w:before="0" w:after="283"/>
              <w:jc w:val="right"/>
              <w:rPr/>
            </w:pPr>
            <w:r>
              <w:rPr/>
              <w:t>Containership</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5" w:type="dxa"/>
            <w:tcBorders/>
            <w:shd w:fill="CCEEFF" w:val="clear"/>
          </w:tcPr>
          <w:p>
            <w:pPr>
              <w:pStyle w:val="TableContents"/>
              <w:bidi w:val="0"/>
              <w:spacing w:before="0" w:after="283"/>
              <w:jc w:val="right"/>
              <w:rPr/>
            </w:pPr>
            <w:r>
              <w:rPr/>
              <w:t>2008</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83" w:type="dxa"/>
            <w:tcBorders/>
            <w:shd w:fill="CCEEFF" w:val="clear"/>
          </w:tcPr>
          <w:p>
            <w:pPr>
              <w:pStyle w:val="TableContents"/>
              <w:bidi w:val="0"/>
              <w:spacing w:before="0" w:after="283"/>
              <w:jc w:val="right"/>
              <w:rPr/>
            </w:pPr>
            <w:r>
              <w:rPr/>
              <w:t>4,730</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683" w:type="dxa"/>
            <w:tcBorders/>
            <w:shd w:fill="CCEEFF" w:val="clear"/>
          </w:tcPr>
          <w:p>
            <w:pPr>
              <w:pStyle w:val="TableContents"/>
              <w:bidi w:val="0"/>
              <w:spacing w:before="0" w:after="283"/>
              <w:jc w:val="right"/>
              <w:rPr/>
            </w:pPr>
            <w:r>
              <w:rPr/>
              <w:t>60,000</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510" w:type="dxa"/>
            <w:tcBorders/>
            <w:shd w:fill="CCEEFF" w:val="clear"/>
          </w:tcPr>
          <w:p>
            <w:pPr>
              <w:pStyle w:val="TableContents"/>
              <w:bidi w:val="0"/>
              <w:spacing w:before="0" w:after="283"/>
              <w:jc w:val="center"/>
              <w:rPr/>
            </w:pPr>
            <w:r>
              <w:rPr/>
              <w:t>No</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33" w:type="dxa"/>
            <w:tcBorders/>
            <w:shd w:fill="CCEEFF" w:val="clear"/>
          </w:tcPr>
          <w:p>
            <w:pPr>
              <w:pStyle w:val="TableContents"/>
              <w:bidi w:val="0"/>
              <w:spacing w:before="0" w:after="283"/>
              <w:jc w:val="right"/>
              <w:rPr/>
            </w:pPr>
            <w:r>
              <w:rPr/>
              <w:t>Apr-25</w:t>
            </w:r>
          </w:p>
        </w:tc>
        <w:tc>
          <w:tcPr>
            <w:tcW w:w="66" w:type="dxa"/>
            <w:tcBorders/>
            <w:shd w:fill="CCEEFF" w:val="clear"/>
          </w:tcPr>
          <w:p>
            <w:pPr>
              <w:pStyle w:val="TableContents"/>
              <w:bidi w:val="0"/>
              <w:spacing w:before="0" w:after="283"/>
              <w:jc w:val="left"/>
              <w:rPr/>
            </w:pPr>
            <w:r>
              <w:rPr/>
              <w:t> </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Navios Chrysalis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352" w:type="dxa"/>
            <w:tcBorders/>
          </w:tcPr>
          <w:p>
            <w:pPr>
              <w:pStyle w:val="TableContents"/>
              <w:bidi w:val="0"/>
              <w:spacing w:before="0" w:after="283"/>
              <w:jc w:val="right"/>
              <w:rPr/>
            </w:pPr>
            <w:r>
              <w:rPr/>
              <w:t>Containership</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5" w:type="dxa"/>
            <w:tcBorders/>
          </w:tcPr>
          <w:p>
            <w:pPr>
              <w:pStyle w:val="TableContents"/>
              <w:bidi w:val="0"/>
              <w:spacing w:before="0" w:after="283"/>
              <w:jc w:val="right"/>
              <w:rPr/>
            </w:pPr>
            <w:r>
              <w:rPr/>
              <w:t>2008</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83" w:type="dxa"/>
            <w:tcBorders/>
          </w:tcPr>
          <w:p>
            <w:pPr>
              <w:pStyle w:val="TableContents"/>
              <w:bidi w:val="0"/>
              <w:spacing w:before="0" w:after="283"/>
              <w:jc w:val="right"/>
              <w:rPr/>
            </w:pPr>
            <w:r>
              <w:rPr/>
              <w:t>4,730</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683" w:type="dxa"/>
            <w:tcBorders/>
          </w:tcPr>
          <w:p>
            <w:pPr>
              <w:pStyle w:val="TableContents"/>
              <w:bidi w:val="0"/>
              <w:spacing w:before="0" w:after="283"/>
              <w:jc w:val="right"/>
              <w:rPr/>
            </w:pPr>
            <w:r>
              <w:rPr/>
              <w:t>30,083</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center"/>
              <w:rPr/>
            </w:pPr>
            <w:r>
              <w:rPr/>
              <w:t>No</w:t>
            </w:r>
          </w:p>
        </w:tc>
        <w:tc>
          <w:tcPr>
            <w:tcW w:w="13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33" w:type="dxa"/>
            <w:tcBorders/>
          </w:tcPr>
          <w:p>
            <w:pPr>
              <w:pStyle w:val="TableContents"/>
              <w:bidi w:val="0"/>
              <w:spacing w:before="0" w:after="283"/>
              <w:jc w:val="right"/>
              <w:rPr/>
            </w:pPr>
            <w:r>
              <w:rPr/>
              <w:t>May-23</w:t>
            </w:r>
          </w:p>
        </w:tc>
        <w:tc>
          <w:tcPr>
            <w:tcW w:w="66" w:type="dxa"/>
            <w:tcBorders/>
          </w:tcPr>
          <w:p>
            <w:pPr>
              <w:pStyle w:val="TableContents"/>
              <w:bidi w:val="0"/>
              <w:spacing w:before="0" w:after="283"/>
              <w:jc w:val="left"/>
              <w:rPr/>
            </w:pPr>
            <w:r>
              <w:rPr/>
              <w:t> </w:t>
            </w:r>
          </w:p>
        </w:tc>
      </w:tr>
      <w:tr>
        <w:trPr/>
        <w:tc>
          <w:tcPr>
            <w:tcW w:w="3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Nerine</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352" w:type="dxa"/>
            <w:tcBorders/>
            <w:shd w:fill="CCEEFF" w:val="clear"/>
          </w:tcPr>
          <w:p>
            <w:pPr>
              <w:pStyle w:val="TableContents"/>
              <w:bidi w:val="0"/>
              <w:spacing w:before="0" w:after="283"/>
              <w:jc w:val="right"/>
              <w:rPr/>
            </w:pPr>
            <w:r>
              <w:rPr/>
              <w:t>Containership</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5" w:type="dxa"/>
            <w:tcBorders/>
            <w:shd w:fill="CCEEFF" w:val="clear"/>
          </w:tcPr>
          <w:p>
            <w:pPr>
              <w:pStyle w:val="TableContents"/>
              <w:bidi w:val="0"/>
              <w:spacing w:before="0" w:after="283"/>
              <w:jc w:val="right"/>
              <w:rPr/>
            </w:pPr>
            <w:r>
              <w:rPr/>
              <w:t>2008</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83" w:type="dxa"/>
            <w:tcBorders/>
            <w:shd w:fill="CCEEFF" w:val="clear"/>
          </w:tcPr>
          <w:p>
            <w:pPr>
              <w:pStyle w:val="TableContents"/>
              <w:bidi w:val="0"/>
              <w:spacing w:before="0" w:after="283"/>
              <w:jc w:val="right"/>
              <w:rPr/>
            </w:pPr>
            <w:r>
              <w:rPr/>
              <w:t>4,730</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683" w:type="dxa"/>
            <w:tcBorders/>
            <w:shd w:fill="CCEEFF" w:val="clear"/>
          </w:tcPr>
          <w:p>
            <w:pPr>
              <w:pStyle w:val="TableContents"/>
              <w:bidi w:val="0"/>
              <w:jc w:val="right"/>
              <w:rPr/>
            </w:pPr>
            <w:r>
              <w:rPr/>
              <w:t>45,425</w:t>
            </w:r>
          </w:p>
          <w:p>
            <w:pPr>
              <w:pStyle w:val="TableContents"/>
              <w:bidi w:val="0"/>
              <w:spacing w:before="0" w:after="0"/>
              <w:jc w:val="right"/>
              <w:rPr>
                <w:rFonts w:ascii="Times New Roman" w:hAnsi="Times New Roman"/>
                <w:sz w:val="20"/>
              </w:rPr>
            </w:pPr>
            <w:r>
              <w:rPr>
                <w:rFonts w:ascii="Times New Roman" w:hAnsi="Times New Roman"/>
                <w:sz w:val="20"/>
              </w:rPr>
              <w:t>23,972</w:t>
            </w:r>
          </w:p>
          <w:p>
            <w:pPr>
              <w:pStyle w:val="TableContents"/>
              <w:bidi w:val="0"/>
              <w:spacing w:before="0" w:after="20"/>
              <w:jc w:val="right"/>
              <w:rPr>
                <w:rFonts w:ascii="Times New Roman" w:hAnsi="Times New Roman"/>
                <w:sz w:val="20"/>
              </w:rPr>
            </w:pPr>
            <w:r>
              <w:rPr>
                <w:rFonts w:ascii="Times New Roman" w:hAnsi="Times New Roman"/>
                <w:sz w:val="20"/>
              </w:rPr>
              <w:t>41,722</w:t>
            </w:r>
          </w:p>
        </w:tc>
        <w:tc>
          <w:tcPr>
            <w:tcW w:w="60" w:type="dxa"/>
            <w:tcBorders/>
            <w:shd w:fill="CCEEFF" w:val="clea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51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20"/>
              <w:jc w:val="center"/>
              <w:rPr>
                <w:rFonts w:ascii="Times New Roman" w:hAnsi="Times New Roman"/>
                <w:sz w:val="20"/>
              </w:rPr>
            </w:pPr>
            <w:r>
              <w:rPr>
                <w:rFonts w:ascii="Times New Roman" w:hAnsi="Times New Roman"/>
                <w:sz w:val="20"/>
              </w:rPr>
              <w:t>No</w:t>
              <w:br/>
              <w:t>No</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33" w:type="dxa"/>
            <w:tcBorders/>
            <w:shd w:fill="CCEEFF" w:val="clear"/>
          </w:tcPr>
          <w:p>
            <w:pPr>
              <w:pStyle w:val="TableContents"/>
              <w:bidi w:val="0"/>
              <w:spacing w:before="0" w:after="283"/>
              <w:jc w:val="right"/>
              <w:rPr/>
            </w:pPr>
            <w:r>
              <w:rPr/>
              <w:t>Oct-23</w:t>
              <w:br/>
              <w:t>Sep-24</w:t>
              <w:br/>
              <w:t>Oct-24</w:t>
            </w:r>
          </w:p>
        </w:tc>
        <w:tc>
          <w:tcPr>
            <w:tcW w:w="66" w:type="dxa"/>
            <w:tcBorders/>
            <w:shd w:fill="CCEEFF" w:val="clear"/>
          </w:tcPr>
          <w:p>
            <w:pPr>
              <w:pStyle w:val="TableContents"/>
              <w:bidi w:val="0"/>
              <w:spacing w:before="0" w:after="283"/>
              <w:jc w:val="left"/>
              <w:rPr/>
            </w:pPr>
            <w:r>
              <w:rPr/>
              <w:br/>
              <w:br/>
              <w:t> </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Spectrum N</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352" w:type="dxa"/>
            <w:tcBorders/>
          </w:tcPr>
          <w:p>
            <w:pPr>
              <w:pStyle w:val="TableContents"/>
              <w:bidi w:val="0"/>
              <w:spacing w:before="0" w:after="283"/>
              <w:jc w:val="right"/>
              <w:rPr/>
            </w:pPr>
            <w:r>
              <w:rPr/>
              <w:t>Containership</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5" w:type="dxa"/>
            <w:tcBorders/>
          </w:tcPr>
          <w:p>
            <w:pPr>
              <w:pStyle w:val="TableContents"/>
              <w:bidi w:val="0"/>
              <w:spacing w:before="0" w:after="283"/>
              <w:jc w:val="right"/>
              <w:rPr/>
            </w:pPr>
            <w:r>
              <w:rPr/>
              <w:t>2009</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83" w:type="dxa"/>
            <w:tcBorders/>
          </w:tcPr>
          <w:p>
            <w:pPr>
              <w:pStyle w:val="TableContents"/>
              <w:bidi w:val="0"/>
              <w:spacing w:before="0" w:after="283"/>
              <w:jc w:val="right"/>
              <w:rPr/>
            </w:pPr>
            <w:r>
              <w:rPr/>
              <w:t>2,546</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683" w:type="dxa"/>
            <w:tcBorders/>
          </w:tcPr>
          <w:p>
            <w:pPr>
              <w:pStyle w:val="TableContents"/>
              <w:bidi w:val="0"/>
              <w:spacing w:before="0" w:after="283"/>
              <w:jc w:val="right"/>
              <w:rPr/>
            </w:pPr>
            <w:r>
              <w:rPr/>
              <w:t>36,538</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center"/>
              <w:rPr/>
            </w:pPr>
            <w:r>
              <w:rPr/>
              <w:t>No</w:t>
            </w:r>
          </w:p>
        </w:tc>
        <w:tc>
          <w:tcPr>
            <w:tcW w:w="13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33" w:type="dxa"/>
            <w:tcBorders/>
          </w:tcPr>
          <w:p>
            <w:pPr>
              <w:pStyle w:val="TableContents"/>
              <w:bidi w:val="0"/>
              <w:spacing w:before="0" w:after="283"/>
              <w:jc w:val="right"/>
              <w:rPr/>
            </w:pPr>
            <w:r>
              <w:rPr/>
              <w:t>Mar-25</w:t>
            </w:r>
          </w:p>
        </w:tc>
        <w:tc>
          <w:tcPr>
            <w:tcW w:w="66" w:type="dxa"/>
            <w:tcBorders/>
          </w:tcPr>
          <w:p>
            <w:pPr>
              <w:pStyle w:val="TableContents"/>
              <w:bidi w:val="0"/>
              <w:spacing w:before="0" w:after="283"/>
              <w:jc w:val="left"/>
              <w:rPr/>
            </w:pPr>
            <w:r>
              <w:rPr/>
              <w:t> </w:t>
            </w:r>
          </w:p>
        </w:tc>
      </w:tr>
      <w:tr>
        <w:trPr/>
        <w:tc>
          <w:tcPr>
            <w:tcW w:w="3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Devotion(5)</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352" w:type="dxa"/>
            <w:tcBorders/>
            <w:shd w:fill="CCEEFF" w:val="clear"/>
          </w:tcPr>
          <w:p>
            <w:pPr>
              <w:pStyle w:val="TableContents"/>
              <w:bidi w:val="0"/>
              <w:spacing w:before="0" w:after="283"/>
              <w:jc w:val="right"/>
              <w:rPr/>
            </w:pPr>
            <w:r>
              <w:rPr/>
              <w:t>Containership</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5" w:type="dxa"/>
            <w:tcBorders/>
            <w:shd w:fill="CCEEFF" w:val="clear"/>
          </w:tcPr>
          <w:p>
            <w:pPr>
              <w:pStyle w:val="TableContents"/>
              <w:bidi w:val="0"/>
              <w:spacing w:before="0" w:after="283"/>
              <w:jc w:val="right"/>
              <w:rPr/>
            </w:pPr>
            <w:r>
              <w:rPr/>
              <w:t>2009</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83" w:type="dxa"/>
            <w:tcBorders/>
            <w:shd w:fill="CCEEFF" w:val="clear"/>
          </w:tcPr>
          <w:p>
            <w:pPr>
              <w:pStyle w:val="TableContents"/>
              <w:bidi w:val="0"/>
              <w:spacing w:before="0" w:after="283"/>
              <w:jc w:val="right"/>
              <w:rPr/>
            </w:pPr>
            <w:r>
              <w:rPr/>
              <w:t>4,250</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683" w:type="dxa"/>
            <w:tcBorders/>
            <w:shd w:fill="CCEEFF" w:val="clear"/>
          </w:tcPr>
          <w:p>
            <w:pPr>
              <w:pStyle w:val="TableContents"/>
              <w:bidi w:val="0"/>
              <w:jc w:val="right"/>
              <w:rPr/>
            </w:pPr>
            <w:r>
              <w:rPr/>
              <w:t>43,875</w:t>
            </w:r>
          </w:p>
          <w:p>
            <w:pPr>
              <w:pStyle w:val="TableContents"/>
              <w:bidi w:val="0"/>
              <w:spacing w:before="0" w:after="0"/>
              <w:jc w:val="right"/>
              <w:rPr>
                <w:rFonts w:ascii="Times New Roman" w:hAnsi="Times New Roman"/>
                <w:sz w:val="20"/>
              </w:rPr>
            </w:pPr>
            <w:r>
              <w:rPr>
                <w:rFonts w:ascii="Times New Roman" w:hAnsi="Times New Roman"/>
                <w:sz w:val="20"/>
              </w:rPr>
              <w:t>34,125</w:t>
            </w:r>
          </w:p>
          <w:p>
            <w:pPr>
              <w:pStyle w:val="TableContents"/>
              <w:bidi w:val="0"/>
              <w:spacing w:before="0" w:after="0"/>
              <w:jc w:val="right"/>
              <w:rPr>
                <w:rFonts w:ascii="Times New Roman" w:hAnsi="Times New Roman"/>
                <w:sz w:val="20"/>
              </w:rPr>
            </w:pPr>
            <w:r>
              <w:rPr>
                <w:rFonts w:ascii="Times New Roman" w:hAnsi="Times New Roman"/>
                <w:sz w:val="20"/>
              </w:rPr>
              <w:t>24,375</w:t>
            </w:r>
          </w:p>
          <w:p>
            <w:pPr>
              <w:pStyle w:val="TableContents"/>
              <w:bidi w:val="0"/>
              <w:spacing w:before="0" w:after="20"/>
              <w:jc w:val="right"/>
              <w:rPr>
                <w:rFonts w:ascii="Times New Roman" w:hAnsi="Times New Roman"/>
                <w:sz w:val="20"/>
              </w:rPr>
            </w:pPr>
            <w:r>
              <w:rPr>
                <w:rFonts w:ascii="Times New Roman" w:hAnsi="Times New Roman"/>
                <w:sz w:val="20"/>
              </w:rPr>
              <w:t>41,438</w:t>
            </w:r>
          </w:p>
        </w:tc>
        <w:tc>
          <w:tcPr>
            <w:tcW w:w="60" w:type="dxa"/>
            <w:tcBorders/>
            <w:shd w:fill="CCEEFF" w:val="clea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510" w:type="dxa"/>
            <w:tcBorders/>
            <w:shd w:fill="CCEEFF" w:val="clear"/>
          </w:tcPr>
          <w:p>
            <w:pPr>
              <w:pStyle w:val="TableContents"/>
              <w:bidi w:val="0"/>
              <w:spacing w:before="0" w:after="283"/>
              <w:jc w:val="center"/>
              <w:rPr/>
            </w:pPr>
            <w:r>
              <w:rPr/>
              <w:t>No</w:t>
              <w:br/>
              <w:t>No</w:t>
              <w:br/>
              <w:t>No</w:t>
              <w:br/>
              <w:t>No</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r>
              <w:rPr/>
              <w:br/>
            </w:r>
          </w:p>
        </w:tc>
        <w:tc>
          <w:tcPr>
            <w:tcW w:w="633" w:type="dxa"/>
            <w:tcBorders/>
            <w:shd w:fill="CCEEFF" w:val="clear"/>
          </w:tcPr>
          <w:p>
            <w:pPr>
              <w:pStyle w:val="TableContents"/>
              <w:bidi w:val="0"/>
              <w:spacing w:before="0" w:after="283"/>
              <w:jc w:val="right"/>
              <w:rPr/>
            </w:pPr>
            <w:r>
              <w:rPr/>
              <w:t>Mar-24</w:t>
              <w:br/>
              <w:t>Mar-25</w:t>
              <w:br/>
              <w:t>Mar-26</w:t>
              <w:br/>
              <w:t>Jul-26</w:t>
            </w:r>
          </w:p>
        </w:tc>
        <w:tc>
          <w:tcPr>
            <w:tcW w:w="66" w:type="dxa"/>
            <w:tcBorders/>
            <w:shd w:fill="CCEEFF" w:val="clear"/>
          </w:tcPr>
          <w:p>
            <w:pPr>
              <w:pStyle w:val="TableContents"/>
              <w:bidi w:val="0"/>
              <w:spacing w:before="0" w:after="283"/>
              <w:jc w:val="left"/>
              <w:rPr/>
            </w:pPr>
            <w:r>
              <w:rPr/>
              <w:br/>
              <w:br/>
              <w:br/>
              <w:t> </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Navios Destiny(5)</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352" w:type="dxa"/>
            <w:tcBorders/>
          </w:tcPr>
          <w:p>
            <w:pPr>
              <w:pStyle w:val="TableContents"/>
              <w:bidi w:val="0"/>
              <w:spacing w:before="0" w:after="283"/>
              <w:jc w:val="right"/>
              <w:rPr/>
            </w:pPr>
            <w:r>
              <w:rPr/>
              <w:t>Containership</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5" w:type="dxa"/>
            <w:tcBorders/>
          </w:tcPr>
          <w:p>
            <w:pPr>
              <w:pStyle w:val="TableContents"/>
              <w:bidi w:val="0"/>
              <w:spacing w:before="0" w:after="283"/>
              <w:jc w:val="right"/>
              <w:rPr/>
            </w:pPr>
            <w:r>
              <w:rPr/>
              <w:t>2009</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83" w:type="dxa"/>
            <w:tcBorders/>
          </w:tcPr>
          <w:p>
            <w:pPr>
              <w:pStyle w:val="TableContents"/>
              <w:bidi w:val="0"/>
              <w:spacing w:before="0" w:after="283"/>
              <w:jc w:val="right"/>
              <w:rPr/>
            </w:pPr>
            <w:r>
              <w:rPr/>
              <w:t>4,250</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683" w:type="dxa"/>
            <w:tcBorders/>
          </w:tcPr>
          <w:p>
            <w:pPr>
              <w:pStyle w:val="TableContents"/>
              <w:bidi w:val="0"/>
              <w:jc w:val="right"/>
              <w:rPr/>
            </w:pPr>
            <w:r>
              <w:rPr/>
              <w:t>45,425</w:t>
            </w:r>
          </w:p>
          <w:p>
            <w:pPr>
              <w:pStyle w:val="TableContents"/>
              <w:bidi w:val="0"/>
              <w:spacing w:before="0" w:after="0"/>
              <w:jc w:val="right"/>
              <w:rPr>
                <w:rFonts w:ascii="Times New Roman" w:hAnsi="Times New Roman"/>
                <w:sz w:val="20"/>
              </w:rPr>
            </w:pPr>
            <w:r>
              <w:rPr>
                <w:rFonts w:ascii="Times New Roman" w:hAnsi="Times New Roman"/>
                <w:sz w:val="20"/>
              </w:rPr>
              <w:t>23,972</w:t>
            </w:r>
          </w:p>
          <w:p>
            <w:pPr>
              <w:pStyle w:val="TableContents"/>
              <w:bidi w:val="0"/>
              <w:spacing w:before="0" w:after="20"/>
              <w:jc w:val="right"/>
              <w:rPr>
                <w:rFonts w:ascii="Times New Roman" w:hAnsi="Times New Roman"/>
                <w:sz w:val="20"/>
              </w:rPr>
            </w:pPr>
            <w:r>
              <w:rPr>
                <w:rFonts w:ascii="Times New Roman" w:hAnsi="Times New Roman"/>
                <w:sz w:val="20"/>
              </w:rPr>
              <w:t>41,722</w:t>
            </w:r>
          </w:p>
        </w:tc>
        <w:tc>
          <w:tcPr>
            <w:tcW w:w="60" w:type="dxa"/>
            <w:tcBorders/>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6"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center"/>
              <w:rPr/>
            </w:pPr>
            <w:r>
              <w:rPr/>
              <w:t>No</w:t>
              <w:br/>
              <w:t>No</w:t>
              <w:br/>
              <w:t>No</w:t>
            </w:r>
          </w:p>
        </w:tc>
        <w:tc>
          <w:tcPr>
            <w:tcW w:w="13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33" w:type="dxa"/>
            <w:tcBorders/>
          </w:tcPr>
          <w:p>
            <w:pPr>
              <w:pStyle w:val="TableContents"/>
              <w:bidi w:val="0"/>
              <w:spacing w:before="0" w:after="283"/>
              <w:jc w:val="right"/>
              <w:rPr/>
            </w:pPr>
            <w:r>
              <w:rPr/>
              <w:t>Nov-23</w:t>
              <w:br/>
              <w:t>Oct-24</w:t>
              <w:br/>
              <w:t>Nov-24</w:t>
            </w:r>
          </w:p>
        </w:tc>
        <w:tc>
          <w:tcPr>
            <w:tcW w:w="66" w:type="dxa"/>
            <w:tcBorders/>
          </w:tcPr>
          <w:p>
            <w:pPr>
              <w:pStyle w:val="TableContents"/>
              <w:bidi w:val="0"/>
              <w:spacing w:before="0" w:after="283"/>
              <w:jc w:val="left"/>
              <w:rPr/>
            </w:pPr>
            <w:r>
              <w:rPr/>
              <w:br/>
              <w:br/>
              <w:t> </w:t>
            </w:r>
          </w:p>
        </w:tc>
      </w:tr>
      <w:tr>
        <w:trPr/>
        <w:tc>
          <w:tcPr>
            <w:tcW w:w="3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Lapis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352" w:type="dxa"/>
            <w:tcBorders/>
            <w:shd w:fill="CCEEFF" w:val="clear"/>
          </w:tcPr>
          <w:p>
            <w:pPr>
              <w:pStyle w:val="TableContents"/>
              <w:bidi w:val="0"/>
              <w:spacing w:before="0" w:after="283"/>
              <w:jc w:val="right"/>
              <w:rPr/>
            </w:pPr>
            <w:r>
              <w:rPr/>
              <w:t>Containership</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5" w:type="dxa"/>
            <w:tcBorders/>
            <w:shd w:fill="CCEEFF" w:val="clear"/>
          </w:tcPr>
          <w:p>
            <w:pPr>
              <w:pStyle w:val="TableContents"/>
              <w:bidi w:val="0"/>
              <w:spacing w:before="0" w:after="283"/>
              <w:jc w:val="right"/>
              <w:rPr/>
            </w:pPr>
            <w:r>
              <w:rPr/>
              <w:t>2009</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83" w:type="dxa"/>
            <w:tcBorders/>
            <w:shd w:fill="CCEEFF" w:val="clear"/>
          </w:tcPr>
          <w:p>
            <w:pPr>
              <w:pStyle w:val="TableContents"/>
              <w:bidi w:val="0"/>
              <w:spacing w:before="0" w:after="283"/>
              <w:jc w:val="right"/>
              <w:rPr/>
            </w:pPr>
            <w:r>
              <w:rPr/>
              <w:t>4,250</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683" w:type="dxa"/>
            <w:tcBorders/>
            <w:shd w:fill="CCEEFF" w:val="clear"/>
          </w:tcPr>
          <w:p>
            <w:pPr>
              <w:pStyle w:val="TableContents"/>
              <w:bidi w:val="0"/>
              <w:spacing w:before="0" w:after="283"/>
              <w:jc w:val="right"/>
              <w:rPr/>
            </w:pPr>
            <w:r>
              <w:rPr/>
              <w:t>20,244</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510" w:type="dxa"/>
            <w:tcBorders/>
            <w:shd w:fill="CCEEFF" w:val="clear"/>
          </w:tcPr>
          <w:p>
            <w:pPr>
              <w:pStyle w:val="TableContents"/>
              <w:bidi w:val="0"/>
              <w:spacing w:before="0" w:after="283"/>
              <w:jc w:val="center"/>
              <w:rPr/>
            </w:pPr>
            <w:r>
              <w:rPr/>
              <w:t>No</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33" w:type="dxa"/>
            <w:tcBorders/>
            <w:shd w:fill="CCEEFF" w:val="clear"/>
          </w:tcPr>
          <w:p>
            <w:pPr>
              <w:pStyle w:val="TableContents"/>
              <w:bidi w:val="0"/>
              <w:spacing w:before="0" w:after="283"/>
              <w:jc w:val="right"/>
              <w:rPr/>
            </w:pPr>
            <w:r>
              <w:rPr/>
              <w:t>Apr-24</w:t>
            </w:r>
          </w:p>
        </w:tc>
        <w:tc>
          <w:tcPr>
            <w:tcW w:w="66" w:type="dxa"/>
            <w:tcBorders/>
            <w:shd w:fill="CCEEFF" w:val="clear"/>
          </w:tcPr>
          <w:p>
            <w:pPr>
              <w:pStyle w:val="TableContents"/>
              <w:bidi w:val="0"/>
              <w:spacing w:before="0" w:after="283"/>
              <w:jc w:val="left"/>
              <w:rPr/>
            </w:pPr>
            <w:r>
              <w:rPr/>
              <w:t> </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Navios Tempo</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352" w:type="dxa"/>
            <w:tcBorders/>
          </w:tcPr>
          <w:p>
            <w:pPr>
              <w:pStyle w:val="TableContents"/>
              <w:bidi w:val="0"/>
              <w:spacing w:before="0" w:after="283"/>
              <w:jc w:val="right"/>
              <w:rPr/>
            </w:pPr>
            <w:r>
              <w:rPr/>
              <w:t>Containership</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5" w:type="dxa"/>
            <w:tcBorders/>
          </w:tcPr>
          <w:p>
            <w:pPr>
              <w:pStyle w:val="TableContents"/>
              <w:bidi w:val="0"/>
              <w:spacing w:before="0" w:after="283"/>
              <w:jc w:val="right"/>
              <w:rPr/>
            </w:pPr>
            <w:r>
              <w:rPr/>
              <w:t>2009</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83" w:type="dxa"/>
            <w:tcBorders/>
          </w:tcPr>
          <w:p>
            <w:pPr>
              <w:pStyle w:val="TableContents"/>
              <w:bidi w:val="0"/>
              <w:spacing w:before="0" w:after="283"/>
              <w:jc w:val="right"/>
              <w:rPr/>
            </w:pPr>
            <w:r>
              <w:rPr/>
              <w:t>4,250</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683" w:type="dxa"/>
            <w:tcBorders/>
          </w:tcPr>
          <w:p>
            <w:pPr>
              <w:pStyle w:val="TableContents"/>
              <w:bidi w:val="0"/>
              <w:spacing w:before="0" w:after="283"/>
              <w:jc w:val="right"/>
              <w:rPr/>
            </w:pPr>
            <w:r>
              <w:rPr/>
              <w:t>44,438</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center"/>
              <w:rPr/>
            </w:pPr>
            <w:r>
              <w:rPr/>
              <w:t>No</w:t>
            </w:r>
          </w:p>
        </w:tc>
        <w:tc>
          <w:tcPr>
            <w:tcW w:w="13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33" w:type="dxa"/>
            <w:tcBorders/>
          </w:tcPr>
          <w:p>
            <w:pPr>
              <w:pStyle w:val="TableContents"/>
              <w:bidi w:val="0"/>
              <w:spacing w:before="0" w:after="283"/>
              <w:jc w:val="right"/>
              <w:rPr/>
            </w:pPr>
            <w:r>
              <w:rPr/>
              <w:t>Sep-25</w:t>
            </w:r>
          </w:p>
        </w:tc>
        <w:tc>
          <w:tcPr>
            <w:tcW w:w="66" w:type="dxa"/>
            <w:tcBorders/>
          </w:tcPr>
          <w:p>
            <w:pPr>
              <w:pStyle w:val="TableContents"/>
              <w:bidi w:val="0"/>
              <w:spacing w:before="0" w:after="283"/>
              <w:jc w:val="left"/>
              <w:rPr/>
            </w:pPr>
            <w:r>
              <w:rPr/>
              <w:t> </w:t>
            </w:r>
          </w:p>
        </w:tc>
      </w:tr>
      <w:tr>
        <w:trPr/>
        <w:tc>
          <w:tcPr>
            <w:tcW w:w="3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Miami</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352" w:type="dxa"/>
            <w:tcBorders/>
            <w:shd w:fill="CCEEFF" w:val="clear"/>
          </w:tcPr>
          <w:p>
            <w:pPr>
              <w:pStyle w:val="TableContents"/>
              <w:bidi w:val="0"/>
              <w:spacing w:before="0" w:after="283"/>
              <w:jc w:val="right"/>
              <w:rPr/>
            </w:pPr>
            <w:r>
              <w:rPr/>
              <w:t>Containership</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5" w:type="dxa"/>
            <w:tcBorders/>
            <w:shd w:fill="CCEEFF" w:val="clear"/>
          </w:tcPr>
          <w:p>
            <w:pPr>
              <w:pStyle w:val="TableContents"/>
              <w:bidi w:val="0"/>
              <w:spacing w:before="0" w:after="283"/>
              <w:jc w:val="right"/>
              <w:rPr/>
            </w:pPr>
            <w:r>
              <w:rPr/>
              <w:t>2009</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83" w:type="dxa"/>
            <w:tcBorders/>
            <w:shd w:fill="CCEEFF" w:val="clear"/>
          </w:tcPr>
          <w:p>
            <w:pPr>
              <w:pStyle w:val="TableContents"/>
              <w:bidi w:val="0"/>
              <w:spacing w:before="0" w:after="283"/>
              <w:jc w:val="right"/>
              <w:rPr/>
            </w:pPr>
            <w:r>
              <w:rPr/>
              <w:t>4,563</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683" w:type="dxa"/>
            <w:tcBorders/>
            <w:shd w:fill="CCEEFF" w:val="clear"/>
          </w:tcPr>
          <w:p>
            <w:pPr>
              <w:pStyle w:val="TableContents"/>
              <w:bidi w:val="0"/>
              <w:jc w:val="right"/>
              <w:rPr/>
            </w:pPr>
            <w:r>
              <w:rPr/>
              <w:t>45,425</w:t>
            </w:r>
          </w:p>
          <w:p>
            <w:pPr>
              <w:pStyle w:val="TableContents"/>
              <w:bidi w:val="0"/>
              <w:spacing w:before="0" w:after="0"/>
              <w:jc w:val="right"/>
              <w:rPr>
                <w:rFonts w:ascii="Times New Roman" w:hAnsi="Times New Roman"/>
                <w:sz w:val="20"/>
              </w:rPr>
            </w:pPr>
            <w:r>
              <w:rPr>
                <w:rFonts w:ascii="Times New Roman" w:hAnsi="Times New Roman"/>
                <w:sz w:val="20"/>
              </w:rPr>
              <w:t>23,972</w:t>
            </w:r>
          </w:p>
          <w:p>
            <w:pPr>
              <w:pStyle w:val="TableContents"/>
              <w:bidi w:val="0"/>
              <w:spacing w:before="0" w:after="20"/>
              <w:jc w:val="right"/>
              <w:rPr>
                <w:rFonts w:ascii="Times New Roman" w:hAnsi="Times New Roman"/>
                <w:sz w:val="20"/>
              </w:rPr>
            </w:pPr>
            <w:r>
              <w:rPr>
                <w:rFonts w:ascii="Times New Roman" w:hAnsi="Times New Roman"/>
                <w:sz w:val="20"/>
              </w:rPr>
              <w:t>41,722</w:t>
            </w:r>
          </w:p>
        </w:tc>
        <w:tc>
          <w:tcPr>
            <w:tcW w:w="60" w:type="dxa"/>
            <w:tcBorders/>
            <w:shd w:fill="CCEEFF" w:val="clea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510" w:type="dxa"/>
            <w:tcBorders/>
            <w:shd w:fill="CCEEFF" w:val="clear"/>
          </w:tcPr>
          <w:p>
            <w:pPr>
              <w:pStyle w:val="TableContents"/>
              <w:bidi w:val="0"/>
              <w:spacing w:before="0" w:after="283"/>
              <w:jc w:val="center"/>
              <w:rPr/>
            </w:pPr>
            <w:r>
              <w:rPr/>
              <w:t>No</w:t>
              <w:br/>
              <w:t>No</w:t>
              <w:br/>
              <w:t>No</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33" w:type="dxa"/>
            <w:tcBorders/>
            <w:shd w:fill="CCEEFF" w:val="clear"/>
          </w:tcPr>
          <w:p>
            <w:pPr>
              <w:pStyle w:val="TableContents"/>
              <w:bidi w:val="0"/>
              <w:spacing w:before="0" w:after="283"/>
              <w:jc w:val="right"/>
              <w:rPr/>
            </w:pPr>
            <w:r>
              <w:rPr/>
              <w:t>Nov-23</w:t>
              <w:br/>
              <w:t>Oct-24</w:t>
              <w:br/>
              <w:t>Nov-24</w:t>
            </w:r>
          </w:p>
        </w:tc>
        <w:tc>
          <w:tcPr>
            <w:tcW w:w="66" w:type="dxa"/>
            <w:tcBorders/>
            <w:shd w:fill="CCEEFF" w:val="clear"/>
          </w:tcPr>
          <w:p>
            <w:pPr>
              <w:pStyle w:val="TableContents"/>
              <w:bidi w:val="0"/>
              <w:spacing w:before="0" w:after="283"/>
              <w:jc w:val="left"/>
              <w:rPr/>
            </w:pPr>
            <w:r>
              <w:rPr/>
              <w:br/>
              <w:br/>
              <w:t> </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Navios Dorado</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352" w:type="dxa"/>
            <w:tcBorders/>
          </w:tcPr>
          <w:p>
            <w:pPr>
              <w:pStyle w:val="TableContents"/>
              <w:bidi w:val="0"/>
              <w:spacing w:before="0" w:after="283"/>
              <w:jc w:val="right"/>
              <w:rPr/>
            </w:pPr>
            <w:r>
              <w:rPr/>
              <w:t>Containership</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5" w:type="dxa"/>
            <w:tcBorders/>
          </w:tcPr>
          <w:p>
            <w:pPr>
              <w:pStyle w:val="TableContents"/>
              <w:bidi w:val="0"/>
              <w:spacing w:before="0" w:after="283"/>
              <w:jc w:val="right"/>
              <w:rPr/>
            </w:pPr>
            <w:r>
              <w:rPr/>
              <w:t>2010</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83" w:type="dxa"/>
            <w:tcBorders/>
          </w:tcPr>
          <w:p>
            <w:pPr>
              <w:pStyle w:val="TableContents"/>
              <w:bidi w:val="0"/>
              <w:spacing w:before="0" w:after="283"/>
              <w:jc w:val="right"/>
              <w:rPr/>
            </w:pPr>
            <w:r>
              <w:rPr/>
              <w:t>4,250</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683" w:type="dxa"/>
            <w:tcBorders/>
          </w:tcPr>
          <w:p>
            <w:pPr>
              <w:pStyle w:val="TableContents"/>
              <w:bidi w:val="0"/>
              <w:spacing w:before="0" w:after="283"/>
              <w:jc w:val="right"/>
              <w:rPr/>
            </w:pPr>
            <w:r>
              <w:rPr/>
              <w:t>21,676</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center"/>
              <w:rPr/>
            </w:pPr>
            <w:r>
              <w:rPr/>
              <w:t>No</w:t>
            </w:r>
          </w:p>
        </w:tc>
        <w:tc>
          <w:tcPr>
            <w:tcW w:w="13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33" w:type="dxa"/>
            <w:tcBorders/>
          </w:tcPr>
          <w:p>
            <w:pPr>
              <w:pStyle w:val="TableContents"/>
              <w:bidi w:val="0"/>
              <w:spacing w:before="0" w:after="283"/>
              <w:jc w:val="right"/>
              <w:rPr/>
            </w:pPr>
            <w:r>
              <w:rPr/>
              <w:t>Jun-24</w:t>
            </w:r>
          </w:p>
        </w:tc>
        <w:tc>
          <w:tcPr>
            <w:tcW w:w="66" w:type="dxa"/>
            <w:tcBorders/>
          </w:tcPr>
          <w:p>
            <w:pPr>
              <w:pStyle w:val="TableContents"/>
              <w:bidi w:val="0"/>
              <w:spacing w:before="0" w:after="283"/>
              <w:jc w:val="left"/>
              <w:rPr/>
            </w:pPr>
            <w:r>
              <w:rPr/>
              <w:t> </w:t>
            </w:r>
          </w:p>
        </w:tc>
      </w:tr>
      <w:tr>
        <w:trPr/>
        <w:tc>
          <w:tcPr>
            <w:tcW w:w="3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Zim Baltimore</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352" w:type="dxa"/>
            <w:tcBorders/>
            <w:shd w:fill="CCEEFF" w:val="clear"/>
          </w:tcPr>
          <w:p>
            <w:pPr>
              <w:pStyle w:val="TableContents"/>
              <w:bidi w:val="0"/>
              <w:spacing w:before="0" w:after="283"/>
              <w:jc w:val="right"/>
              <w:rPr/>
            </w:pPr>
            <w:r>
              <w:rPr/>
              <w:t>Containership</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5" w:type="dxa"/>
            <w:tcBorders/>
            <w:shd w:fill="CCEEFF" w:val="clear"/>
          </w:tcPr>
          <w:p>
            <w:pPr>
              <w:pStyle w:val="TableContents"/>
              <w:bidi w:val="0"/>
              <w:spacing w:before="0" w:after="283"/>
              <w:jc w:val="right"/>
              <w:rPr/>
            </w:pPr>
            <w:r>
              <w:rPr/>
              <w:t>2010</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83" w:type="dxa"/>
            <w:tcBorders/>
            <w:shd w:fill="CCEEFF" w:val="clear"/>
          </w:tcPr>
          <w:p>
            <w:pPr>
              <w:pStyle w:val="TableContents"/>
              <w:bidi w:val="0"/>
              <w:spacing w:before="0" w:after="283"/>
              <w:jc w:val="right"/>
              <w:rPr/>
            </w:pPr>
            <w:r>
              <w:rPr/>
              <w:t>4,360</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683" w:type="dxa"/>
            <w:tcBorders/>
            <w:shd w:fill="CCEEFF" w:val="clear"/>
          </w:tcPr>
          <w:p>
            <w:pPr>
              <w:pStyle w:val="TableContents"/>
              <w:bidi w:val="0"/>
              <w:jc w:val="right"/>
              <w:rPr/>
            </w:pPr>
            <w:r>
              <w:rPr/>
              <w:t>43,875</w:t>
            </w:r>
          </w:p>
          <w:p>
            <w:pPr>
              <w:pStyle w:val="TableContents"/>
              <w:bidi w:val="0"/>
              <w:spacing w:before="0" w:after="0"/>
              <w:jc w:val="right"/>
              <w:rPr>
                <w:rFonts w:ascii="Times New Roman" w:hAnsi="Times New Roman"/>
                <w:sz w:val="20"/>
              </w:rPr>
            </w:pPr>
            <w:r>
              <w:rPr>
                <w:rFonts w:ascii="Times New Roman" w:hAnsi="Times New Roman"/>
                <w:sz w:val="20"/>
              </w:rPr>
              <w:t>34,125</w:t>
            </w:r>
          </w:p>
          <w:p>
            <w:pPr>
              <w:pStyle w:val="TableContents"/>
              <w:bidi w:val="0"/>
              <w:spacing w:before="0" w:after="0"/>
              <w:jc w:val="right"/>
              <w:rPr>
                <w:rFonts w:ascii="Times New Roman" w:hAnsi="Times New Roman"/>
                <w:sz w:val="20"/>
              </w:rPr>
            </w:pPr>
            <w:r>
              <w:rPr>
                <w:rFonts w:ascii="Times New Roman" w:hAnsi="Times New Roman"/>
                <w:sz w:val="20"/>
              </w:rPr>
              <w:t>24,375</w:t>
            </w:r>
          </w:p>
          <w:p>
            <w:pPr>
              <w:pStyle w:val="TableContents"/>
              <w:bidi w:val="0"/>
              <w:spacing w:before="0" w:after="20"/>
              <w:jc w:val="right"/>
              <w:rPr>
                <w:rFonts w:ascii="Times New Roman" w:hAnsi="Times New Roman"/>
                <w:sz w:val="20"/>
              </w:rPr>
            </w:pPr>
            <w:r>
              <w:rPr>
                <w:rFonts w:ascii="Times New Roman" w:hAnsi="Times New Roman"/>
                <w:sz w:val="20"/>
              </w:rPr>
              <w:t>41,438</w:t>
            </w:r>
          </w:p>
        </w:tc>
        <w:tc>
          <w:tcPr>
            <w:tcW w:w="60" w:type="dxa"/>
            <w:tcBorders/>
            <w:shd w:fill="CCEEFF" w:val="clea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510" w:type="dxa"/>
            <w:tcBorders/>
            <w:shd w:fill="CCEEFF" w:val="clear"/>
          </w:tcPr>
          <w:p>
            <w:pPr>
              <w:pStyle w:val="TableContents"/>
              <w:bidi w:val="0"/>
              <w:spacing w:before="0" w:after="283"/>
              <w:jc w:val="center"/>
              <w:rPr/>
            </w:pPr>
            <w:r>
              <w:rPr/>
              <w:t>No</w:t>
              <w:br/>
              <w:t>No</w:t>
              <w:br/>
              <w:t>No</w:t>
              <w:br/>
              <w:t>No</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r>
              <w:rPr/>
              <w:br/>
            </w:r>
          </w:p>
        </w:tc>
        <w:tc>
          <w:tcPr>
            <w:tcW w:w="633" w:type="dxa"/>
            <w:tcBorders/>
            <w:shd w:fill="CCEEFF" w:val="clear"/>
          </w:tcPr>
          <w:p>
            <w:pPr>
              <w:pStyle w:val="TableContents"/>
              <w:bidi w:val="0"/>
              <w:spacing w:before="0" w:after="283"/>
              <w:jc w:val="right"/>
              <w:rPr/>
            </w:pPr>
            <w:r>
              <w:rPr/>
              <w:t>Jan-24</w:t>
              <w:br/>
              <w:t>Jan-25</w:t>
              <w:br/>
              <w:t>Jan-26</w:t>
              <w:br/>
              <w:t>May-26</w:t>
            </w:r>
          </w:p>
        </w:tc>
        <w:tc>
          <w:tcPr>
            <w:tcW w:w="66" w:type="dxa"/>
            <w:tcBorders/>
            <w:shd w:fill="CCEEFF" w:val="clear"/>
          </w:tcPr>
          <w:p>
            <w:pPr>
              <w:pStyle w:val="TableContents"/>
              <w:bidi w:val="0"/>
              <w:spacing w:before="0" w:after="283"/>
              <w:jc w:val="left"/>
              <w:rPr/>
            </w:pPr>
            <w:r>
              <w:rPr/>
              <w:br/>
              <w:br/>
              <w:br/>
              <w:t> </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Navios Bahamas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352" w:type="dxa"/>
            <w:tcBorders/>
          </w:tcPr>
          <w:p>
            <w:pPr>
              <w:pStyle w:val="TableContents"/>
              <w:bidi w:val="0"/>
              <w:spacing w:before="0" w:after="283"/>
              <w:jc w:val="right"/>
              <w:rPr/>
            </w:pPr>
            <w:r>
              <w:rPr/>
              <w:t>Containership</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5" w:type="dxa"/>
            <w:tcBorders/>
          </w:tcPr>
          <w:p>
            <w:pPr>
              <w:pStyle w:val="TableContents"/>
              <w:bidi w:val="0"/>
              <w:spacing w:before="0" w:after="283"/>
              <w:jc w:val="right"/>
              <w:rPr/>
            </w:pPr>
            <w:r>
              <w:rPr/>
              <w:t>2010</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83" w:type="dxa"/>
            <w:tcBorders/>
          </w:tcPr>
          <w:p>
            <w:pPr>
              <w:pStyle w:val="TableContents"/>
              <w:bidi w:val="0"/>
              <w:spacing w:before="0" w:after="283"/>
              <w:jc w:val="right"/>
              <w:rPr/>
            </w:pPr>
            <w:r>
              <w:rPr/>
              <w:t>4,360</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683" w:type="dxa"/>
            <w:tcBorders/>
          </w:tcPr>
          <w:p>
            <w:pPr>
              <w:pStyle w:val="TableContents"/>
              <w:bidi w:val="0"/>
              <w:spacing w:before="0" w:after="283"/>
              <w:jc w:val="right"/>
              <w:rPr/>
            </w:pPr>
            <w:r>
              <w:rPr/>
              <w:t>60,000</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center"/>
              <w:rPr/>
            </w:pPr>
            <w:r>
              <w:rPr/>
              <w:t>No</w:t>
            </w:r>
          </w:p>
        </w:tc>
        <w:tc>
          <w:tcPr>
            <w:tcW w:w="13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33" w:type="dxa"/>
            <w:tcBorders/>
          </w:tcPr>
          <w:p>
            <w:pPr>
              <w:pStyle w:val="TableContents"/>
              <w:bidi w:val="0"/>
              <w:spacing w:before="0" w:after="283"/>
              <w:jc w:val="right"/>
              <w:rPr/>
            </w:pPr>
            <w:r>
              <w:rPr/>
              <w:t>May-25</w:t>
            </w:r>
          </w:p>
        </w:tc>
        <w:tc>
          <w:tcPr>
            <w:tcW w:w="66" w:type="dxa"/>
            <w:tcBorders/>
          </w:tcPr>
          <w:p>
            <w:pPr>
              <w:pStyle w:val="TableContents"/>
              <w:bidi w:val="0"/>
              <w:spacing w:before="0" w:after="283"/>
              <w:jc w:val="left"/>
              <w:rPr/>
            </w:pPr>
            <w:r>
              <w:rPr/>
              <w:t> </w:t>
            </w:r>
          </w:p>
        </w:tc>
      </w:tr>
      <w:tr>
        <w:trPr/>
        <w:tc>
          <w:tcPr>
            <w:tcW w:w="3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Zim Carmel</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352" w:type="dxa"/>
            <w:tcBorders/>
            <w:shd w:fill="CCEEFF" w:val="clear"/>
          </w:tcPr>
          <w:p>
            <w:pPr>
              <w:pStyle w:val="TableContents"/>
              <w:bidi w:val="0"/>
              <w:spacing w:before="0" w:after="283"/>
              <w:jc w:val="right"/>
              <w:rPr/>
            </w:pPr>
            <w:r>
              <w:rPr/>
              <w:t>Containership</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5" w:type="dxa"/>
            <w:tcBorders/>
            <w:shd w:fill="CCEEFF" w:val="clear"/>
          </w:tcPr>
          <w:p>
            <w:pPr>
              <w:pStyle w:val="TableContents"/>
              <w:bidi w:val="0"/>
              <w:spacing w:before="0" w:after="283"/>
              <w:jc w:val="right"/>
              <w:rPr/>
            </w:pPr>
            <w:r>
              <w:rPr/>
              <w:t>2010</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83" w:type="dxa"/>
            <w:tcBorders/>
            <w:shd w:fill="CCEEFF" w:val="clear"/>
          </w:tcPr>
          <w:p>
            <w:pPr>
              <w:pStyle w:val="TableContents"/>
              <w:bidi w:val="0"/>
              <w:spacing w:before="0" w:after="283"/>
              <w:jc w:val="right"/>
              <w:rPr/>
            </w:pPr>
            <w:r>
              <w:rPr/>
              <w:t>4,360</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683" w:type="dxa"/>
            <w:tcBorders/>
            <w:shd w:fill="CCEEFF" w:val="clear"/>
          </w:tcPr>
          <w:p>
            <w:pPr>
              <w:pStyle w:val="TableContents"/>
              <w:bidi w:val="0"/>
              <w:jc w:val="right"/>
              <w:rPr/>
            </w:pPr>
            <w:r>
              <w:rPr/>
              <w:t>42,164</w:t>
            </w:r>
          </w:p>
          <w:p>
            <w:pPr>
              <w:pStyle w:val="TableContents"/>
              <w:bidi w:val="0"/>
              <w:spacing w:before="0" w:after="0"/>
              <w:jc w:val="right"/>
              <w:rPr>
                <w:rFonts w:ascii="Times New Roman" w:hAnsi="Times New Roman"/>
                <w:sz w:val="20"/>
              </w:rPr>
            </w:pPr>
            <w:r>
              <w:rPr>
                <w:rFonts w:ascii="Times New Roman" w:hAnsi="Times New Roman"/>
                <w:sz w:val="20"/>
              </w:rPr>
              <w:t>32,689</w:t>
            </w:r>
          </w:p>
          <w:p>
            <w:pPr>
              <w:pStyle w:val="TableContents"/>
              <w:bidi w:val="0"/>
              <w:spacing w:before="0" w:after="0"/>
              <w:jc w:val="right"/>
              <w:rPr>
                <w:rFonts w:ascii="Times New Roman" w:hAnsi="Times New Roman"/>
                <w:sz w:val="20"/>
              </w:rPr>
            </w:pPr>
            <w:r>
              <w:rPr>
                <w:rFonts w:ascii="Times New Roman" w:hAnsi="Times New Roman"/>
                <w:sz w:val="20"/>
              </w:rPr>
              <w:t>23,214</w:t>
            </w:r>
          </w:p>
          <w:p>
            <w:pPr>
              <w:pStyle w:val="TableContents"/>
              <w:bidi w:val="0"/>
              <w:spacing w:before="0" w:after="20"/>
              <w:jc w:val="right"/>
              <w:rPr>
                <w:rFonts w:ascii="Times New Roman" w:hAnsi="Times New Roman"/>
                <w:sz w:val="20"/>
              </w:rPr>
            </w:pPr>
            <w:r>
              <w:rPr>
                <w:rFonts w:ascii="Times New Roman" w:hAnsi="Times New Roman"/>
                <w:sz w:val="20"/>
              </w:rPr>
              <w:t>39,795</w:t>
            </w:r>
          </w:p>
        </w:tc>
        <w:tc>
          <w:tcPr>
            <w:tcW w:w="60" w:type="dxa"/>
            <w:tcBorders/>
            <w:shd w:fill="CCEEFF" w:val="clea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510" w:type="dxa"/>
            <w:tcBorders/>
            <w:shd w:fill="CCEEFF" w:val="clear"/>
          </w:tcPr>
          <w:p>
            <w:pPr>
              <w:pStyle w:val="TableContents"/>
              <w:bidi w:val="0"/>
              <w:spacing w:before="0" w:after="283"/>
              <w:jc w:val="center"/>
              <w:rPr/>
            </w:pPr>
            <w:r>
              <w:rPr/>
              <w:t>No</w:t>
              <w:br/>
              <w:t>No</w:t>
              <w:br/>
              <w:t>No</w:t>
              <w:br/>
              <w:t>No</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r>
              <w:rPr/>
              <w:br/>
            </w:r>
          </w:p>
        </w:tc>
        <w:tc>
          <w:tcPr>
            <w:tcW w:w="633" w:type="dxa"/>
            <w:tcBorders/>
            <w:shd w:fill="CCEEFF" w:val="clear"/>
          </w:tcPr>
          <w:p>
            <w:pPr>
              <w:pStyle w:val="TableContents"/>
              <w:bidi w:val="0"/>
              <w:spacing w:before="0" w:after="283"/>
              <w:jc w:val="right"/>
              <w:rPr/>
            </w:pPr>
            <w:r>
              <w:rPr/>
              <w:t>Apr-24</w:t>
              <w:br/>
              <w:t>Apr-25</w:t>
              <w:br/>
              <w:t>Apr-26</w:t>
              <w:br/>
              <w:t>Jun-26</w:t>
            </w:r>
          </w:p>
        </w:tc>
        <w:tc>
          <w:tcPr>
            <w:tcW w:w="66" w:type="dxa"/>
            <w:tcBorders/>
            <w:shd w:fill="CCEEFF" w:val="clear"/>
          </w:tcPr>
          <w:p>
            <w:pPr>
              <w:pStyle w:val="TableContents"/>
              <w:bidi w:val="0"/>
              <w:spacing w:before="0" w:after="283"/>
              <w:jc w:val="left"/>
              <w:rPr/>
            </w:pPr>
            <w:r>
              <w:rPr/>
              <w:br/>
              <w:br/>
              <w:br/>
              <w:t> </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Navios Unison(5)</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352" w:type="dxa"/>
            <w:tcBorders/>
          </w:tcPr>
          <w:p>
            <w:pPr>
              <w:pStyle w:val="TableContents"/>
              <w:bidi w:val="0"/>
              <w:spacing w:before="0" w:after="283"/>
              <w:jc w:val="right"/>
              <w:rPr/>
            </w:pPr>
            <w:r>
              <w:rPr/>
              <w:t>Containership</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5" w:type="dxa"/>
            <w:tcBorders/>
          </w:tcPr>
          <w:p>
            <w:pPr>
              <w:pStyle w:val="TableContents"/>
              <w:bidi w:val="0"/>
              <w:spacing w:before="0" w:after="283"/>
              <w:jc w:val="right"/>
              <w:rPr/>
            </w:pPr>
            <w:r>
              <w:rPr/>
              <w:t>2010</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83" w:type="dxa"/>
            <w:tcBorders/>
          </w:tcPr>
          <w:p>
            <w:pPr>
              <w:pStyle w:val="TableContents"/>
              <w:bidi w:val="0"/>
              <w:spacing w:before="0" w:after="283"/>
              <w:jc w:val="right"/>
              <w:rPr/>
            </w:pPr>
            <w:r>
              <w:rPr/>
              <w:t>10,000</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683" w:type="dxa"/>
            <w:tcBorders/>
          </w:tcPr>
          <w:p>
            <w:pPr>
              <w:pStyle w:val="TableContents"/>
              <w:bidi w:val="0"/>
              <w:spacing w:before="0" w:after="283"/>
              <w:jc w:val="right"/>
              <w:rPr/>
            </w:pPr>
            <w:r>
              <w:rPr/>
              <w:t>26,276</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center"/>
              <w:rPr/>
            </w:pPr>
            <w:r>
              <w:rPr/>
              <w:t>No</w:t>
            </w:r>
          </w:p>
        </w:tc>
        <w:tc>
          <w:tcPr>
            <w:tcW w:w="13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33" w:type="dxa"/>
            <w:tcBorders/>
          </w:tcPr>
          <w:p>
            <w:pPr>
              <w:pStyle w:val="TableContents"/>
              <w:bidi w:val="0"/>
              <w:spacing w:before="0" w:after="283"/>
              <w:jc w:val="right"/>
              <w:rPr/>
            </w:pPr>
            <w:r>
              <w:rPr/>
              <w:t>Jun-26</w:t>
            </w:r>
          </w:p>
        </w:tc>
        <w:tc>
          <w:tcPr>
            <w:tcW w:w="66" w:type="dxa"/>
            <w:tcBorders/>
          </w:tcPr>
          <w:p>
            <w:pPr>
              <w:pStyle w:val="TableContents"/>
              <w:bidi w:val="0"/>
              <w:spacing w:before="0" w:after="283"/>
              <w:jc w:val="left"/>
              <w:rPr/>
            </w:pPr>
            <w:r>
              <w:rPr/>
              <w:t> </w:t>
            </w:r>
          </w:p>
        </w:tc>
      </w:tr>
      <w:tr>
        <w:trPr/>
        <w:tc>
          <w:tcPr>
            <w:tcW w:w="3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Constellation(5)</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352" w:type="dxa"/>
            <w:tcBorders/>
            <w:shd w:fill="CCEEFF" w:val="clear"/>
          </w:tcPr>
          <w:p>
            <w:pPr>
              <w:pStyle w:val="TableContents"/>
              <w:bidi w:val="0"/>
              <w:spacing w:before="0" w:after="283"/>
              <w:jc w:val="right"/>
              <w:rPr/>
            </w:pPr>
            <w:r>
              <w:rPr/>
              <w:t>Containership</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5" w:type="dxa"/>
            <w:tcBorders/>
            <w:shd w:fill="CCEEFF" w:val="clear"/>
          </w:tcPr>
          <w:p>
            <w:pPr>
              <w:pStyle w:val="TableContents"/>
              <w:bidi w:val="0"/>
              <w:spacing w:before="0" w:after="283"/>
              <w:jc w:val="right"/>
              <w:rPr/>
            </w:pPr>
            <w:r>
              <w:rPr/>
              <w:t>2011</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83" w:type="dxa"/>
            <w:tcBorders/>
            <w:shd w:fill="CCEEFF" w:val="clear"/>
          </w:tcPr>
          <w:p>
            <w:pPr>
              <w:pStyle w:val="TableContents"/>
              <w:bidi w:val="0"/>
              <w:spacing w:before="0" w:after="283"/>
              <w:jc w:val="right"/>
              <w:rPr/>
            </w:pPr>
            <w:r>
              <w:rPr/>
              <w:t>10,000</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683" w:type="dxa"/>
            <w:tcBorders/>
            <w:shd w:fill="CCEEFF" w:val="clear"/>
          </w:tcPr>
          <w:p>
            <w:pPr>
              <w:pStyle w:val="TableContents"/>
              <w:bidi w:val="0"/>
              <w:spacing w:before="0" w:after="283"/>
              <w:jc w:val="right"/>
              <w:rPr/>
            </w:pPr>
            <w:r>
              <w:rPr/>
              <w:t>26,276</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510" w:type="dxa"/>
            <w:tcBorders/>
            <w:shd w:fill="CCEEFF" w:val="clear"/>
          </w:tcPr>
          <w:p>
            <w:pPr>
              <w:pStyle w:val="TableContents"/>
              <w:bidi w:val="0"/>
              <w:spacing w:before="0" w:after="283"/>
              <w:jc w:val="center"/>
              <w:rPr/>
            </w:pPr>
            <w:r>
              <w:rPr/>
              <w:t>No</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33" w:type="dxa"/>
            <w:tcBorders/>
            <w:shd w:fill="CCEEFF" w:val="clear"/>
          </w:tcPr>
          <w:p>
            <w:pPr>
              <w:pStyle w:val="TableContents"/>
              <w:bidi w:val="0"/>
              <w:spacing w:before="0" w:after="283"/>
              <w:jc w:val="right"/>
              <w:rPr/>
            </w:pPr>
            <w:r>
              <w:rPr/>
              <w:t>Jun-26</w:t>
            </w:r>
          </w:p>
        </w:tc>
        <w:tc>
          <w:tcPr>
            <w:tcW w:w="66" w:type="dxa"/>
            <w:tcBorders/>
            <w:shd w:fill="CCEEFF" w:val="clear"/>
          </w:tcPr>
          <w:p>
            <w:pPr>
              <w:pStyle w:val="TableContents"/>
              <w:bidi w:val="0"/>
              <w:spacing w:before="0" w:after="283"/>
              <w:jc w:val="left"/>
              <w:rPr/>
            </w:pPr>
            <w:r>
              <w:rPr/>
              <w:t> </w:t>
            </w:r>
          </w:p>
        </w:tc>
      </w:tr>
      <w:tr>
        <w:trPr/>
        <w:tc>
          <w:tcPr>
            <w:tcW w:w="3338" w:type="dxa"/>
            <w:tcBorders/>
          </w:tcPr>
          <w:p>
            <w:pPr>
              <w:pStyle w:val="TableContents"/>
              <w:bidi w:val="0"/>
              <w:spacing w:before="0" w:after="0"/>
              <w:jc w:val="left"/>
              <w:rPr>
                <w:rFonts w:ascii="Times New Roman" w:hAnsi="Times New Roman"/>
                <w:sz w:val="20"/>
              </w:rPr>
            </w:pPr>
            <w:r>
              <w:rPr>
                <w:rFonts w:ascii="Times New Roman" w:hAnsi="Times New Roman"/>
                <w:sz w:val="20"/>
              </w:rPr>
              <w:t>Fleur N</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352" w:type="dxa"/>
            <w:tcBorders/>
          </w:tcPr>
          <w:p>
            <w:pPr>
              <w:pStyle w:val="TableContents"/>
              <w:bidi w:val="0"/>
              <w:spacing w:before="0" w:after="283"/>
              <w:jc w:val="right"/>
              <w:rPr/>
            </w:pPr>
            <w:r>
              <w:rPr/>
              <w:t>Containership</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5" w:type="dxa"/>
            <w:tcBorders/>
          </w:tcPr>
          <w:p>
            <w:pPr>
              <w:pStyle w:val="TableContents"/>
              <w:bidi w:val="0"/>
              <w:spacing w:before="0" w:after="283"/>
              <w:jc w:val="right"/>
              <w:rPr/>
            </w:pPr>
            <w:r>
              <w:rPr/>
              <w:t>2012</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83" w:type="dxa"/>
            <w:tcBorders/>
          </w:tcPr>
          <w:p>
            <w:pPr>
              <w:pStyle w:val="TableContents"/>
              <w:bidi w:val="0"/>
              <w:spacing w:before="0" w:after="283"/>
              <w:jc w:val="right"/>
              <w:rPr/>
            </w:pPr>
            <w:r>
              <w:rPr/>
              <w:t>2,782</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683" w:type="dxa"/>
            <w:tcBorders/>
          </w:tcPr>
          <w:p>
            <w:pPr>
              <w:pStyle w:val="TableContents"/>
              <w:bidi w:val="0"/>
              <w:spacing w:before="0" w:after="283"/>
              <w:jc w:val="right"/>
              <w:rPr/>
            </w:pPr>
            <w:r>
              <w:rPr/>
              <w:t>19,750</w:t>
            </w:r>
          </w:p>
        </w:tc>
        <w:tc>
          <w:tcPr>
            <w:tcW w:w="60" w:type="dxa"/>
            <w:tcBorders/>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center"/>
              <w:rPr/>
            </w:pPr>
            <w:r>
              <w:rPr/>
              <w:t>No</w:t>
            </w:r>
          </w:p>
        </w:tc>
        <w:tc>
          <w:tcPr>
            <w:tcW w:w="13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633" w:type="dxa"/>
            <w:tcBorders/>
          </w:tcPr>
          <w:p>
            <w:pPr>
              <w:pStyle w:val="TableContents"/>
              <w:bidi w:val="0"/>
              <w:spacing w:before="0" w:after="283"/>
              <w:jc w:val="right"/>
              <w:rPr/>
            </w:pPr>
            <w:r>
              <w:rPr/>
              <w:t>Mar-24</w:t>
            </w:r>
          </w:p>
        </w:tc>
        <w:tc>
          <w:tcPr>
            <w:tcW w:w="66" w:type="dxa"/>
            <w:tcBorders/>
          </w:tcPr>
          <w:p>
            <w:pPr>
              <w:pStyle w:val="TableContents"/>
              <w:bidi w:val="0"/>
              <w:spacing w:before="0" w:after="283"/>
              <w:jc w:val="left"/>
              <w:rPr/>
            </w:pPr>
            <w:r>
              <w:rPr/>
              <w:t> </w:t>
            </w:r>
          </w:p>
        </w:tc>
      </w:tr>
      <w:tr>
        <w:trPr/>
        <w:tc>
          <w:tcPr>
            <w:tcW w:w="3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Ete N</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352" w:type="dxa"/>
            <w:tcBorders/>
            <w:shd w:fill="CCEEFF" w:val="clear"/>
          </w:tcPr>
          <w:p>
            <w:pPr>
              <w:pStyle w:val="TableContents"/>
              <w:bidi w:val="0"/>
              <w:spacing w:before="0" w:after="283"/>
              <w:jc w:val="right"/>
              <w:rPr/>
            </w:pPr>
            <w:r>
              <w:rPr/>
              <w:t>Containership</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5" w:type="dxa"/>
            <w:tcBorders/>
            <w:shd w:fill="CCEEFF" w:val="clear"/>
          </w:tcPr>
          <w:p>
            <w:pPr>
              <w:pStyle w:val="TableContents"/>
              <w:bidi w:val="0"/>
              <w:spacing w:before="0" w:after="283"/>
              <w:jc w:val="right"/>
              <w:rPr/>
            </w:pPr>
            <w:r>
              <w:rPr/>
              <w:t>2012</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83" w:type="dxa"/>
            <w:tcBorders/>
            <w:shd w:fill="CCEEFF" w:val="clear"/>
          </w:tcPr>
          <w:p>
            <w:pPr>
              <w:pStyle w:val="TableContents"/>
              <w:bidi w:val="0"/>
              <w:spacing w:before="0" w:after="283"/>
              <w:jc w:val="right"/>
              <w:rPr/>
            </w:pPr>
            <w:r>
              <w:rPr/>
              <w:t>2,782</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683" w:type="dxa"/>
            <w:tcBorders/>
            <w:shd w:fill="CCEEFF" w:val="clear"/>
          </w:tcPr>
          <w:p>
            <w:pPr>
              <w:pStyle w:val="TableContents"/>
              <w:bidi w:val="0"/>
              <w:spacing w:before="0" w:after="283"/>
              <w:jc w:val="right"/>
              <w:rPr/>
            </w:pPr>
            <w:r>
              <w:rPr/>
              <w:t>19,750</w:t>
            </w:r>
          </w:p>
        </w:tc>
        <w:tc>
          <w:tcPr>
            <w:tcW w:w="60" w:type="dxa"/>
            <w:tcBorders/>
            <w:shd w:fill="CCEEFF" w:val="clear"/>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510" w:type="dxa"/>
            <w:tcBorders/>
            <w:shd w:fill="CCEEFF" w:val="clear"/>
          </w:tcPr>
          <w:p>
            <w:pPr>
              <w:pStyle w:val="TableContents"/>
              <w:bidi w:val="0"/>
              <w:spacing w:before="0" w:after="283"/>
              <w:jc w:val="center"/>
              <w:rPr/>
            </w:pPr>
            <w:r>
              <w:rPr/>
              <w:t>No</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633" w:type="dxa"/>
            <w:tcBorders/>
            <w:shd w:fill="CCEEFF" w:val="clear"/>
          </w:tcPr>
          <w:p>
            <w:pPr>
              <w:pStyle w:val="TableContents"/>
              <w:bidi w:val="0"/>
              <w:spacing w:before="0" w:after="283"/>
              <w:jc w:val="right"/>
              <w:rPr/>
            </w:pPr>
            <w:r>
              <w:rPr/>
              <w:t>Feb-24</w:t>
            </w:r>
          </w:p>
        </w:tc>
        <w:tc>
          <w:tcPr>
            <w:tcW w:w="66" w:type="dxa"/>
            <w:tcBorders/>
            <w:shd w:fill="CCEEFF" w:val="clea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10405" w:type="dxa"/>
        <w:jc w:val="center"/>
        <w:tblInd w:w="0" w:type="dxa"/>
        <w:tblLayout w:type="fixed"/>
        <w:tblCellMar>
          <w:top w:w="0" w:type="dxa"/>
          <w:left w:w="0" w:type="dxa"/>
          <w:bottom w:w="0" w:type="dxa"/>
          <w:right w:w="0" w:type="dxa"/>
        </w:tblCellMar>
      </w:tblPr>
      <w:tblGrid>
        <w:gridCol w:w="1640"/>
        <w:gridCol w:w="120"/>
        <w:gridCol w:w="60"/>
        <w:gridCol w:w="2045"/>
        <w:gridCol w:w="60"/>
        <w:gridCol w:w="120"/>
        <w:gridCol w:w="60"/>
        <w:gridCol w:w="500"/>
        <w:gridCol w:w="60"/>
        <w:gridCol w:w="120"/>
        <w:gridCol w:w="75"/>
        <w:gridCol w:w="860"/>
        <w:gridCol w:w="60"/>
        <w:gridCol w:w="120"/>
        <w:gridCol w:w="223"/>
        <w:gridCol w:w="1087"/>
        <w:gridCol w:w="350"/>
        <w:gridCol w:w="60"/>
        <w:gridCol w:w="1490"/>
        <w:gridCol w:w="120"/>
        <w:gridCol w:w="113"/>
        <w:gridCol w:w="1002"/>
        <w:gridCol w:w="60"/>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Owned Tanker Vessels</w:t>
            </w:r>
          </w:p>
        </w:tc>
        <w:tc>
          <w:tcPr>
            <w:tcW w:w="120" w:type="dxa"/>
            <w:tcBorders/>
            <w:vAlign w:val="bottom"/>
          </w:tcPr>
          <w:p>
            <w:pPr>
              <w:pStyle w:val="TableContents"/>
              <w:bidi w:val="0"/>
              <w:spacing w:before="0" w:after="283"/>
              <w:jc w:val="left"/>
              <w:rPr/>
            </w:pPr>
            <w:r>
              <w:rP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Type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Built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Capacity</w:t>
              <w:br/>
              <w:t>(DWT)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Charter-Out</w:t>
              <w:br/>
              <w:t>Rate(1)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tcBorders>
              <w:bottom w:val="single" w:sz="8" w:space="0" w:color="000000"/>
            </w:tcBorders>
            <w:tcMar>
              <w:bottom w:w="28" w:type="dxa"/>
            </w:tcMar>
            <w:vAlign w:val="bottom"/>
          </w:tcPr>
          <w:p>
            <w:pPr>
              <w:pStyle w:val="TableContents"/>
              <w:bidi w:val="0"/>
              <w:spacing w:before="0" w:after="283"/>
              <w:jc w:val="center"/>
              <w:rPr>
                <w:b/>
              </w:rPr>
            </w:pPr>
            <w:r>
              <w:rPr>
                <w:b/>
              </w:rPr>
              <w:t>Profit Sharing</w:t>
              <w:br/>
              <w:t>Arrangements</w:t>
            </w:r>
          </w:p>
        </w:tc>
        <w:tc>
          <w:tcPr>
            <w:tcW w:w="12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Expiration</w:t>
              <w:br/>
              <w:t>Date(3)</w:t>
            </w:r>
          </w:p>
        </w:tc>
        <w:tc>
          <w:tcPr>
            <w:tcW w:w="60" w:type="dxa"/>
            <w:tcBorders/>
            <w:vAlign w:val="bottom"/>
          </w:tcPr>
          <w:p>
            <w:pPr>
              <w:pStyle w:val="TableContents"/>
              <w:bidi w:val="0"/>
              <w:spacing w:before="0" w:after="283"/>
              <w:jc w:val="left"/>
              <w:rPr/>
            </w:pPr>
            <w:r>
              <w:rPr/>
              <w:t> </w:t>
            </w:r>
          </w:p>
        </w:tc>
      </w:tr>
      <w:tr>
        <w:trPr/>
        <w:tc>
          <w:tcPr>
            <w:tcW w:w="1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Hector N</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2045" w:type="dxa"/>
            <w:tcBorders/>
            <w:shd w:fill="CCEEFF" w:val="clear"/>
          </w:tcPr>
          <w:p>
            <w:pPr>
              <w:pStyle w:val="TableContents"/>
              <w:bidi w:val="0"/>
              <w:spacing w:before="0" w:after="283"/>
              <w:jc w:val="right"/>
              <w:rPr/>
            </w:pPr>
            <w:r>
              <w:rPr/>
              <w:t>MR1 Product Tanker</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2008</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right"/>
              <w:rPr/>
            </w:pPr>
            <w:r>
              <w:rPr/>
              <w:t>38,402</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3" w:type="dxa"/>
            <w:tcBorders/>
            <w:shd w:fill="CCEEFF" w:val="clear"/>
          </w:tcPr>
          <w:p>
            <w:pPr>
              <w:pStyle w:val="TableContents"/>
              <w:bidi w:val="0"/>
              <w:jc w:val="left"/>
              <w:rPr/>
            </w:pPr>
            <w:r>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1087" w:type="dxa"/>
            <w:tcBorders/>
            <w:shd w:fill="CCEEFF" w:val="clear"/>
          </w:tcPr>
          <w:p>
            <w:pPr>
              <w:pStyle w:val="TableContents"/>
              <w:bidi w:val="0"/>
              <w:jc w:val="right"/>
              <w:rPr/>
            </w:pPr>
            <w:r>
              <w:rPr/>
              <w:t>14,319</w:t>
            </w:r>
          </w:p>
          <w:p>
            <w:pPr>
              <w:pStyle w:val="TableContents"/>
              <w:bidi w:val="0"/>
              <w:spacing w:before="0" w:after="20"/>
              <w:jc w:val="right"/>
              <w:rPr>
                <w:rFonts w:ascii="Times New Roman" w:hAnsi="Times New Roman"/>
                <w:sz w:val="20"/>
              </w:rPr>
            </w:pPr>
            <w:r>
              <w:rPr>
                <w:rFonts w:ascii="Times New Roman" w:hAnsi="Times New Roman"/>
                <w:sz w:val="20"/>
              </w:rPr>
              <w:t>15,306</w:t>
            </w:r>
          </w:p>
        </w:tc>
        <w:tc>
          <w:tcPr>
            <w:tcW w:w="350" w:type="dxa"/>
            <w:tcBorders/>
            <w:shd w:fill="CCEEFF" w:val="clea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0" w:type="dxa"/>
            <w:tcBorders/>
            <w:shd w:fill="CCEEFF" w:val="clear"/>
          </w:tcPr>
          <w:p>
            <w:pPr>
              <w:pStyle w:val="TableContents"/>
              <w:bidi w:val="0"/>
              <w:spacing w:before="0" w:after="283"/>
              <w:jc w:val="center"/>
              <w:rPr/>
            </w:pPr>
            <w:r>
              <w:rPr/>
              <w:t>No</w:t>
              <w:br/>
              <w:t>No</w:t>
            </w:r>
          </w:p>
        </w:tc>
        <w:tc>
          <w:tcPr>
            <w:tcW w:w="120" w:type="dxa"/>
            <w:tcBorders/>
            <w:shd w:fill="CCEEFF" w:val="clear"/>
            <w:vAlign w:val="bottom"/>
          </w:tcPr>
          <w:p>
            <w:pPr>
              <w:pStyle w:val="TableContents"/>
              <w:bidi w:val="0"/>
              <w:spacing w:before="0" w:after="283"/>
              <w:jc w:val="left"/>
              <w:rPr/>
            </w:pPr>
            <w:r>
              <w:rPr/>
              <w:t>  </w:t>
            </w:r>
          </w:p>
        </w:tc>
        <w:tc>
          <w:tcPr>
            <w:tcW w:w="113" w:type="dxa"/>
            <w:tcBorders/>
            <w:shd w:fill="CCEEFF" w:val="clear"/>
          </w:tcPr>
          <w:p>
            <w:pPr>
              <w:pStyle w:val="TableContents"/>
              <w:bidi w:val="0"/>
              <w:spacing w:before="0" w:after="283"/>
              <w:jc w:val="left"/>
              <w:rPr/>
            </w:pPr>
            <w:r>
              <w:rPr/>
              <w:t> </w:t>
            </w:r>
          </w:p>
        </w:tc>
        <w:tc>
          <w:tcPr>
            <w:tcW w:w="1002" w:type="dxa"/>
            <w:tcBorders/>
            <w:shd w:fill="CCEEFF" w:val="clear"/>
          </w:tcPr>
          <w:p>
            <w:pPr>
              <w:pStyle w:val="TableContents"/>
              <w:bidi w:val="0"/>
              <w:spacing w:before="0" w:after="283"/>
              <w:jc w:val="right"/>
              <w:rPr/>
            </w:pPr>
            <w:r>
              <w:rPr/>
              <w:t>Jun-23</w:t>
              <w:br/>
              <w:t>Aug-23</w:t>
            </w:r>
          </w:p>
        </w:tc>
        <w:tc>
          <w:tcPr>
            <w:tcW w:w="60" w:type="dxa"/>
            <w:tcBorders/>
            <w:shd w:fill="CCEEFF" w:val="clear"/>
          </w:tcPr>
          <w:p>
            <w:pPr>
              <w:pStyle w:val="TableContents"/>
              <w:bidi w:val="0"/>
              <w:spacing w:before="0" w:after="283"/>
              <w:jc w:val="left"/>
              <w:rPr/>
            </w:pPr>
            <w:r>
              <w:rPr/>
              <w:b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Nave Equinox</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045" w:type="dxa"/>
            <w:tcBorders/>
          </w:tcPr>
          <w:p>
            <w:pPr>
              <w:pStyle w:val="TableContents"/>
              <w:bidi w:val="0"/>
              <w:spacing w:before="0" w:after="283"/>
              <w:jc w:val="right"/>
              <w:rPr/>
            </w:pPr>
            <w:r>
              <w:rPr/>
              <w:t>MR2 Product Tanker</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pPr>
            <w:r>
              <w:rPr/>
              <w:t>2007</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50,922</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3" w:type="dxa"/>
            <w:tcBorders/>
          </w:tcPr>
          <w:p>
            <w:pPr>
              <w:pStyle w:val="TableContents"/>
              <w:bidi w:val="0"/>
              <w:spacing w:before="0" w:after="283"/>
              <w:jc w:val="left"/>
              <w:rPr/>
            </w:pPr>
            <w:r>
              <w:rPr/>
              <w:t>$</w:t>
            </w:r>
          </w:p>
        </w:tc>
        <w:tc>
          <w:tcPr>
            <w:tcW w:w="1087" w:type="dxa"/>
            <w:tcBorders/>
          </w:tcPr>
          <w:p>
            <w:pPr>
              <w:pStyle w:val="TableContents"/>
              <w:bidi w:val="0"/>
              <w:spacing w:before="0" w:after="283"/>
              <w:jc w:val="right"/>
              <w:rPr/>
            </w:pPr>
            <w:r>
              <w:rPr/>
              <w:t>20,392</w:t>
            </w:r>
          </w:p>
        </w:tc>
        <w:tc>
          <w:tcPr>
            <w:tcW w:w="350" w:type="dxa"/>
            <w:tcBorders/>
          </w:tcPr>
          <w:p>
            <w:pPr>
              <w:pStyle w:val="TableContents"/>
              <w:bidi w:val="0"/>
              <w:spacing w:before="0" w:after="283"/>
              <w:jc w:val="left"/>
              <w:rPr/>
            </w:pPr>
            <w:r>
              <w:rPr/>
              <w:t>(8) </w:t>
            </w:r>
          </w:p>
        </w:tc>
        <w:tc>
          <w:tcPr>
            <w:tcW w:w="60" w:type="dxa"/>
            <w:tcBorders/>
            <w:vAlign w:val="bottom"/>
          </w:tcPr>
          <w:p>
            <w:pPr>
              <w:pStyle w:val="TableContents"/>
              <w:bidi w:val="0"/>
              <w:spacing w:before="0" w:after="283"/>
              <w:jc w:val="left"/>
              <w:rPr/>
            </w:pPr>
            <w:r>
              <w:rPr/>
              <w:t> </w:t>
            </w:r>
          </w:p>
        </w:tc>
        <w:tc>
          <w:tcPr>
            <w:tcW w:w="1490" w:type="dxa"/>
            <w:tcBorders/>
          </w:tcPr>
          <w:p>
            <w:pPr>
              <w:pStyle w:val="TableContents"/>
              <w:bidi w:val="0"/>
              <w:spacing w:before="0" w:after="283"/>
              <w:jc w:val="center"/>
              <w:rPr/>
            </w:pPr>
            <w:r>
              <w:rPr/>
              <w:t>No</w:t>
            </w:r>
          </w:p>
        </w:tc>
        <w:tc>
          <w:tcPr>
            <w:tcW w:w="120" w:type="dxa"/>
            <w:tcBorders/>
            <w:vAlign w:val="bottom"/>
          </w:tcPr>
          <w:p>
            <w:pPr>
              <w:pStyle w:val="TableContents"/>
              <w:bidi w:val="0"/>
              <w:spacing w:before="0" w:after="283"/>
              <w:jc w:val="left"/>
              <w:rPr/>
            </w:pPr>
            <w:r>
              <w:rPr/>
              <w:t>  </w:t>
            </w:r>
          </w:p>
        </w:tc>
        <w:tc>
          <w:tcPr>
            <w:tcW w:w="113" w:type="dxa"/>
            <w:tcBorders/>
          </w:tcPr>
          <w:p>
            <w:pPr>
              <w:pStyle w:val="TableContents"/>
              <w:bidi w:val="0"/>
              <w:spacing w:before="0" w:after="283"/>
              <w:jc w:val="left"/>
              <w:rPr/>
            </w:pPr>
            <w:r>
              <w:rPr/>
              <w:t> </w:t>
            </w:r>
          </w:p>
        </w:tc>
        <w:tc>
          <w:tcPr>
            <w:tcW w:w="1002" w:type="dxa"/>
            <w:tcBorders/>
          </w:tcPr>
          <w:p>
            <w:pPr>
              <w:pStyle w:val="TableContents"/>
              <w:bidi w:val="0"/>
              <w:spacing w:before="0" w:after="283"/>
              <w:jc w:val="right"/>
              <w:rPr/>
            </w:pPr>
            <w:r>
              <w:rPr/>
              <w:t>Sep-24</w:t>
            </w:r>
          </w:p>
        </w:tc>
        <w:tc>
          <w:tcPr>
            <w:tcW w:w="60" w:type="dxa"/>
            <w:tcBorders/>
          </w:tcPr>
          <w:p>
            <w:pPr>
              <w:pStyle w:val="TableContents"/>
              <w:bidi w:val="0"/>
              <w:spacing w:before="0" w:after="283"/>
              <w:jc w:val="left"/>
              <w:rPr/>
            </w:pPr>
            <w:r>
              <w:rPr/>
              <w:t> </w:t>
            </w:r>
          </w:p>
        </w:tc>
      </w:tr>
      <w:tr>
        <w:trPr/>
        <w:tc>
          <w:tcPr>
            <w:tcW w:w="1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 Pulsar(24)</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2045" w:type="dxa"/>
            <w:tcBorders/>
            <w:shd w:fill="CCEEFF" w:val="clear"/>
          </w:tcPr>
          <w:p>
            <w:pPr>
              <w:pStyle w:val="TableContents"/>
              <w:bidi w:val="0"/>
              <w:spacing w:before="0" w:after="283"/>
              <w:jc w:val="right"/>
              <w:rPr/>
            </w:pPr>
            <w:r>
              <w:rPr/>
              <w:t>MR2 Product Tanker</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2007</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right"/>
              <w:rPr/>
            </w:pPr>
            <w:r>
              <w:rPr/>
              <w:t>50,922</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3" w:type="dxa"/>
            <w:tcBorders/>
            <w:shd w:fill="CCEEFF" w:val="clear"/>
          </w:tcPr>
          <w:p>
            <w:pPr>
              <w:pStyle w:val="TableContents"/>
              <w:bidi w:val="0"/>
              <w:spacing w:before="0" w:after="283"/>
              <w:jc w:val="left"/>
              <w:rPr/>
            </w:pPr>
            <w:r>
              <w:rPr/>
              <w:t>$</w:t>
            </w:r>
          </w:p>
        </w:tc>
        <w:tc>
          <w:tcPr>
            <w:tcW w:w="1087" w:type="dxa"/>
            <w:tcBorders/>
            <w:shd w:fill="CCEEFF" w:val="clear"/>
          </w:tcPr>
          <w:p>
            <w:pPr>
              <w:pStyle w:val="TableContents"/>
              <w:bidi w:val="0"/>
              <w:spacing w:before="0" w:after="283"/>
              <w:jc w:val="right"/>
              <w:rPr/>
            </w:pPr>
            <w:r>
              <w:rPr/>
              <w:t>27,650</w:t>
            </w:r>
          </w:p>
        </w:tc>
        <w:tc>
          <w:tcPr>
            <w:tcW w:w="35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0" w:type="dxa"/>
            <w:tcBorders/>
            <w:shd w:fill="CCEEFF" w:val="clear"/>
          </w:tcPr>
          <w:p>
            <w:pPr>
              <w:pStyle w:val="TableContents"/>
              <w:bidi w:val="0"/>
              <w:spacing w:before="0" w:after="283"/>
              <w:jc w:val="center"/>
              <w:rPr/>
            </w:pPr>
            <w:r>
              <w:rPr/>
              <w:t>No</w:t>
            </w:r>
          </w:p>
        </w:tc>
        <w:tc>
          <w:tcPr>
            <w:tcW w:w="120" w:type="dxa"/>
            <w:tcBorders/>
            <w:shd w:fill="CCEEFF" w:val="clear"/>
            <w:vAlign w:val="bottom"/>
          </w:tcPr>
          <w:p>
            <w:pPr>
              <w:pStyle w:val="TableContents"/>
              <w:bidi w:val="0"/>
              <w:spacing w:before="0" w:after="283"/>
              <w:jc w:val="left"/>
              <w:rPr/>
            </w:pPr>
            <w:r>
              <w:rPr/>
              <w:t>  </w:t>
            </w:r>
          </w:p>
        </w:tc>
        <w:tc>
          <w:tcPr>
            <w:tcW w:w="113" w:type="dxa"/>
            <w:tcBorders/>
            <w:shd w:fill="CCEEFF" w:val="clear"/>
          </w:tcPr>
          <w:p>
            <w:pPr>
              <w:pStyle w:val="TableContents"/>
              <w:bidi w:val="0"/>
              <w:spacing w:before="0" w:after="283"/>
              <w:jc w:val="left"/>
              <w:rPr/>
            </w:pPr>
            <w:r>
              <w:rPr/>
              <w:t> </w:t>
            </w:r>
          </w:p>
        </w:tc>
        <w:tc>
          <w:tcPr>
            <w:tcW w:w="1002" w:type="dxa"/>
            <w:tcBorders/>
            <w:shd w:fill="CCEEFF" w:val="clear"/>
          </w:tcPr>
          <w:p>
            <w:pPr>
              <w:pStyle w:val="TableContents"/>
              <w:bidi w:val="0"/>
              <w:spacing w:before="0" w:after="283"/>
              <w:jc w:val="right"/>
              <w:rPr/>
            </w:pPr>
            <w:r>
              <w:rPr/>
              <w:t>Aug-23</w:t>
            </w:r>
          </w:p>
        </w:tc>
        <w:tc>
          <w:tcPr>
            <w:tcW w:w="60" w:type="dxa"/>
            <w:tcBorders/>
            <w:shd w:fill="CCEEFF" w:val="clear"/>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Nave Orbit</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045" w:type="dxa"/>
            <w:tcBorders/>
          </w:tcPr>
          <w:p>
            <w:pPr>
              <w:pStyle w:val="TableContents"/>
              <w:bidi w:val="0"/>
              <w:spacing w:before="0" w:after="283"/>
              <w:jc w:val="right"/>
              <w:rPr/>
            </w:pPr>
            <w:r>
              <w:rPr/>
              <w:t>MR2 Product Tanker</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pPr>
            <w:r>
              <w:rPr/>
              <w:t>2009</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50,470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3" w:type="dxa"/>
            <w:tcBorders/>
          </w:tcPr>
          <w:p>
            <w:pPr>
              <w:pStyle w:val="TableContents"/>
              <w:bidi w:val="0"/>
              <w:spacing w:before="0" w:after="283"/>
              <w:jc w:val="left"/>
              <w:rPr/>
            </w:pPr>
            <w:r>
              <w:rPr/>
              <w:t>$</w:t>
            </w:r>
          </w:p>
        </w:tc>
        <w:tc>
          <w:tcPr>
            <w:tcW w:w="1087" w:type="dxa"/>
            <w:tcBorders/>
          </w:tcPr>
          <w:p>
            <w:pPr>
              <w:pStyle w:val="TableContents"/>
              <w:bidi w:val="0"/>
              <w:spacing w:before="0" w:after="283"/>
              <w:jc w:val="right"/>
              <w:rPr/>
            </w:pPr>
            <w:r>
              <w:rPr/>
              <w:t>15,306</w:t>
            </w:r>
          </w:p>
        </w:tc>
        <w:tc>
          <w:tcPr>
            <w:tcW w:w="35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tcBorders/>
          </w:tcPr>
          <w:p>
            <w:pPr>
              <w:pStyle w:val="TableContents"/>
              <w:bidi w:val="0"/>
              <w:spacing w:before="0" w:after="283"/>
              <w:jc w:val="center"/>
              <w:rPr/>
            </w:pPr>
            <w:r>
              <w:rPr/>
              <w:t>No</w:t>
            </w:r>
          </w:p>
        </w:tc>
        <w:tc>
          <w:tcPr>
            <w:tcW w:w="120" w:type="dxa"/>
            <w:tcBorders/>
            <w:vAlign w:val="bottom"/>
          </w:tcPr>
          <w:p>
            <w:pPr>
              <w:pStyle w:val="TableContents"/>
              <w:bidi w:val="0"/>
              <w:spacing w:before="0" w:after="283"/>
              <w:jc w:val="left"/>
              <w:rPr/>
            </w:pPr>
            <w:r>
              <w:rPr/>
              <w:t>  </w:t>
            </w:r>
          </w:p>
        </w:tc>
        <w:tc>
          <w:tcPr>
            <w:tcW w:w="113" w:type="dxa"/>
            <w:tcBorders/>
          </w:tcPr>
          <w:p>
            <w:pPr>
              <w:pStyle w:val="TableContents"/>
              <w:bidi w:val="0"/>
              <w:spacing w:before="0" w:after="283"/>
              <w:jc w:val="left"/>
              <w:rPr/>
            </w:pPr>
            <w:r>
              <w:rPr/>
              <w:t> </w:t>
            </w:r>
          </w:p>
        </w:tc>
        <w:tc>
          <w:tcPr>
            <w:tcW w:w="1002" w:type="dxa"/>
            <w:tcBorders/>
          </w:tcPr>
          <w:p>
            <w:pPr>
              <w:pStyle w:val="TableContents"/>
              <w:bidi w:val="0"/>
              <w:spacing w:before="0" w:after="283"/>
              <w:jc w:val="right"/>
              <w:rPr/>
            </w:pPr>
            <w:r>
              <w:rPr/>
              <w:t>Sep-24</w:t>
            </w:r>
          </w:p>
        </w:tc>
        <w:tc>
          <w:tcPr>
            <w:tcW w:w="60" w:type="dxa"/>
            <w:tcBorders/>
          </w:tcPr>
          <w:p>
            <w:pPr>
              <w:pStyle w:val="TableContents"/>
              <w:bidi w:val="0"/>
              <w:spacing w:before="0" w:after="283"/>
              <w:jc w:val="left"/>
              <w:rPr/>
            </w:pPr>
            <w:r>
              <w:rPr/>
              <w:t> </w:t>
            </w:r>
          </w:p>
        </w:tc>
      </w:tr>
      <w:tr>
        <w:trPr/>
        <w:tc>
          <w:tcPr>
            <w:tcW w:w="1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 Equator(24)</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2045" w:type="dxa"/>
            <w:tcBorders/>
            <w:shd w:fill="CCEEFF" w:val="clear"/>
          </w:tcPr>
          <w:p>
            <w:pPr>
              <w:pStyle w:val="TableContents"/>
              <w:bidi w:val="0"/>
              <w:spacing w:before="0" w:after="283"/>
              <w:jc w:val="right"/>
              <w:rPr/>
            </w:pPr>
            <w:r>
              <w:rPr/>
              <w:t>MR2 Product Tanker</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2009</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right"/>
              <w:rPr/>
            </w:pPr>
            <w:r>
              <w:rPr/>
              <w:t>50,542</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3" w:type="dxa"/>
            <w:tcBorders/>
            <w:shd w:fill="CCEEFF" w:val="clear"/>
          </w:tcPr>
          <w:p>
            <w:pPr>
              <w:pStyle w:val="TableContents"/>
              <w:bidi w:val="0"/>
              <w:spacing w:before="0" w:after="283"/>
              <w:jc w:val="left"/>
              <w:rPr/>
            </w:pPr>
            <w:r>
              <w:rPr/>
              <w:t>$</w:t>
            </w:r>
          </w:p>
        </w:tc>
        <w:tc>
          <w:tcPr>
            <w:tcW w:w="1087" w:type="dxa"/>
            <w:tcBorders/>
            <w:shd w:fill="CCEEFF" w:val="clear"/>
          </w:tcPr>
          <w:p>
            <w:pPr>
              <w:pStyle w:val="TableContents"/>
              <w:bidi w:val="0"/>
              <w:spacing w:before="0" w:after="283"/>
              <w:jc w:val="right"/>
              <w:rPr/>
            </w:pPr>
            <w:r>
              <w:rPr/>
              <w:t>23,651</w:t>
            </w:r>
          </w:p>
        </w:tc>
        <w:tc>
          <w:tcPr>
            <w:tcW w:w="35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0" w:type="dxa"/>
            <w:tcBorders/>
            <w:shd w:fill="CCEEFF" w:val="clear"/>
          </w:tcPr>
          <w:p>
            <w:pPr>
              <w:pStyle w:val="TableContents"/>
              <w:bidi w:val="0"/>
              <w:spacing w:before="0" w:after="283"/>
              <w:jc w:val="center"/>
              <w:rPr/>
            </w:pPr>
            <w:r>
              <w:rPr/>
              <w:t>No</w:t>
            </w:r>
          </w:p>
        </w:tc>
        <w:tc>
          <w:tcPr>
            <w:tcW w:w="120" w:type="dxa"/>
            <w:tcBorders/>
            <w:shd w:fill="CCEEFF" w:val="clear"/>
            <w:vAlign w:val="bottom"/>
          </w:tcPr>
          <w:p>
            <w:pPr>
              <w:pStyle w:val="TableContents"/>
              <w:bidi w:val="0"/>
              <w:spacing w:before="0" w:after="283"/>
              <w:jc w:val="left"/>
              <w:rPr/>
            </w:pPr>
            <w:r>
              <w:rPr/>
              <w:t>  </w:t>
            </w:r>
          </w:p>
        </w:tc>
        <w:tc>
          <w:tcPr>
            <w:tcW w:w="113" w:type="dxa"/>
            <w:tcBorders/>
            <w:shd w:fill="CCEEFF" w:val="clear"/>
          </w:tcPr>
          <w:p>
            <w:pPr>
              <w:pStyle w:val="TableContents"/>
              <w:bidi w:val="0"/>
              <w:spacing w:before="0" w:after="283"/>
              <w:jc w:val="left"/>
              <w:rPr/>
            </w:pPr>
            <w:r>
              <w:rPr/>
              <w:t> </w:t>
            </w:r>
          </w:p>
        </w:tc>
        <w:tc>
          <w:tcPr>
            <w:tcW w:w="1002" w:type="dxa"/>
            <w:tcBorders/>
            <w:shd w:fill="CCEEFF" w:val="clear"/>
          </w:tcPr>
          <w:p>
            <w:pPr>
              <w:pStyle w:val="TableContents"/>
              <w:bidi w:val="0"/>
              <w:spacing w:before="0" w:after="283"/>
              <w:jc w:val="right"/>
              <w:rPr/>
            </w:pPr>
            <w:r>
              <w:rPr/>
              <w:t>Aug-23</w:t>
            </w:r>
          </w:p>
        </w:tc>
        <w:tc>
          <w:tcPr>
            <w:tcW w:w="60" w:type="dxa"/>
            <w:tcBorders/>
            <w:shd w:fill="CCEEFF" w:val="clear"/>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Nave Aquila(5)</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045" w:type="dxa"/>
            <w:tcBorders/>
          </w:tcPr>
          <w:p>
            <w:pPr>
              <w:pStyle w:val="TableContents"/>
              <w:bidi w:val="0"/>
              <w:spacing w:before="0" w:after="283"/>
              <w:jc w:val="right"/>
              <w:rPr/>
            </w:pPr>
            <w:r>
              <w:rPr/>
              <w:t>MR2 Product Tanker</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pPr>
            <w:r>
              <w:rPr/>
              <w:t>2012</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49,991</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3" w:type="dxa"/>
            <w:tcBorders/>
          </w:tcPr>
          <w:p>
            <w:pPr>
              <w:pStyle w:val="TableContents"/>
              <w:bidi w:val="0"/>
              <w:spacing w:before="0" w:after="283"/>
              <w:jc w:val="left"/>
              <w:rPr/>
            </w:pPr>
            <w:r>
              <w:rPr/>
              <w:t>$</w:t>
            </w:r>
          </w:p>
        </w:tc>
        <w:tc>
          <w:tcPr>
            <w:tcW w:w="1087" w:type="dxa"/>
            <w:tcBorders/>
          </w:tcPr>
          <w:p>
            <w:pPr>
              <w:pStyle w:val="TableContents"/>
              <w:bidi w:val="0"/>
              <w:spacing w:before="0" w:after="283"/>
              <w:jc w:val="right"/>
              <w:rPr/>
            </w:pPr>
            <w:r>
              <w:rPr/>
              <w:t>27,181</w:t>
            </w:r>
          </w:p>
        </w:tc>
        <w:tc>
          <w:tcPr>
            <w:tcW w:w="35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tcBorders/>
          </w:tcPr>
          <w:p>
            <w:pPr>
              <w:pStyle w:val="TableContents"/>
              <w:bidi w:val="0"/>
              <w:spacing w:before="0" w:after="283"/>
              <w:jc w:val="center"/>
              <w:rPr/>
            </w:pPr>
            <w:r>
              <w:rPr/>
              <w:t>No</w:t>
            </w:r>
          </w:p>
        </w:tc>
        <w:tc>
          <w:tcPr>
            <w:tcW w:w="120" w:type="dxa"/>
            <w:tcBorders/>
            <w:vAlign w:val="bottom"/>
          </w:tcPr>
          <w:p>
            <w:pPr>
              <w:pStyle w:val="TableContents"/>
              <w:bidi w:val="0"/>
              <w:spacing w:before="0" w:after="283"/>
              <w:jc w:val="left"/>
              <w:rPr/>
            </w:pPr>
            <w:r>
              <w:rPr/>
              <w:t>  </w:t>
            </w:r>
          </w:p>
        </w:tc>
        <w:tc>
          <w:tcPr>
            <w:tcW w:w="113" w:type="dxa"/>
            <w:tcBorders/>
          </w:tcPr>
          <w:p>
            <w:pPr>
              <w:pStyle w:val="TableContents"/>
              <w:bidi w:val="0"/>
              <w:spacing w:before="0" w:after="283"/>
              <w:jc w:val="left"/>
              <w:rPr/>
            </w:pPr>
            <w:r>
              <w:rPr/>
              <w:t> </w:t>
            </w:r>
          </w:p>
        </w:tc>
        <w:tc>
          <w:tcPr>
            <w:tcW w:w="1002" w:type="dxa"/>
            <w:tcBorders/>
          </w:tcPr>
          <w:p>
            <w:pPr>
              <w:pStyle w:val="TableContents"/>
              <w:bidi w:val="0"/>
              <w:spacing w:before="0" w:after="283"/>
              <w:jc w:val="right"/>
              <w:rPr/>
            </w:pPr>
            <w:r>
              <w:rPr/>
              <w:t>Jun-23</w:t>
            </w:r>
          </w:p>
        </w:tc>
        <w:tc>
          <w:tcPr>
            <w:tcW w:w="60" w:type="dxa"/>
            <w:tcBorders/>
          </w:tcPr>
          <w:p>
            <w:pPr>
              <w:pStyle w:val="TableContents"/>
              <w:bidi w:val="0"/>
              <w:spacing w:before="0" w:after="283"/>
              <w:jc w:val="left"/>
              <w:rPr/>
            </w:pPr>
            <w:r>
              <w:rPr/>
              <w:t> </w:t>
            </w:r>
          </w:p>
        </w:tc>
      </w:tr>
      <w:tr>
        <w:trPr/>
        <w:tc>
          <w:tcPr>
            <w:tcW w:w="1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 Atria(5)</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2045" w:type="dxa"/>
            <w:tcBorders/>
            <w:shd w:fill="CCEEFF" w:val="clear"/>
          </w:tcPr>
          <w:p>
            <w:pPr>
              <w:pStyle w:val="TableContents"/>
              <w:bidi w:val="0"/>
              <w:spacing w:before="0" w:after="283"/>
              <w:jc w:val="right"/>
              <w:rPr/>
            </w:pPr>
            <w:r>
              <w:rPr/>
              <w:t>MR2 Product Tanker</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2012</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right"/>
              <w:rPr/>
            </w:pPr>
            <w:r>
              <w:rPr/>
              <w:t>49,992</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3" w:type="dxa"/>
            <w:tcBorders/>
            <w:shd w:fill="CCEEFF" w:val="clear"/>
          </w:tcPr>
          <w:p>
            <w:pPr>
              <w:pStyle w:val="TableContents"/>
              <w:bidi w:val="0"/>
              <w:jc w:val="left"/>
              <w:rPr/>
            </w:pPr>
            <w:r>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1087" w:type="dxa"/>
            <w:tcBorders/>
            <w:shd w:fill="CCEEFF" w:val="clear"/>
          </w:tcPr>
          <w:p>
            <w:pPr>
              <w:pStyle w:val="TableContents"/>
              <w:bidi w:val="0"/>
              <w:jc w:val="right"/>
              <w:rPr/>
            </w:pPr>
            <w:r>
              <w:rPr/>
              <w:t>13,948</w:t>
            </w:r>
          </w:p>
          <w:p>
            <w:pPr>
              <w:pStyle w:val="TableContents"/>
              <w:bidi w:val="0"/>
              <w:spacing w:before="0" w:after="20"/>
              <w:jc w:val="right"/>
              <w:rPr>
                <w:rFonts w:ascii="Times New Roman" w:hAnsi="Times New Roman"/>
                <w:sz w:val="20"/>
              </w:rPr>
            </w:pPr>
            <w:r>
              <w:rPr>
                <w:rFonts w:ascii="Times New Roman" w:hAnsi="Times New Roman"/>
                <w:sz w:val="20"/>
              </w:rPr>
              <w:t>14,887</w:t>
            </w:r>
          </w:p>
        </w:tc>
        <w:tc>
          <w:tcPr>
            <w:tcW w:w="350" w:type="dxa"/>
            <w:tcBorders/>
            <w:shd w:fill="CCEEFF" w:val="clea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0" w:type="dxa"/>
            <w:tcBorders/>
            <w:shd w:fill="CCEEFF" w:val="clear"/>
          </w:tcPr>
          <w:p>
            <w:pPr>
              <w:pStyle w:val="TableContents"/>
              <w:bidi w:val="0"/>
              <w:jc w:val="center"/>
              <w:rPr/>
            </w:pPr>
            <w:r>
              <w:rPr/>
              <w:t>No</w:t>
            </w:r>
          </w:p>
          <w:p>
            <w:pPr>
              <w:pStyle w:val="TableContents"/>
              <w:bidi w:val="0"/>
              <w:spacing w:before="0" w:after="20"/>
              <w:jc w:val="center"/>
              <w:rPr>
                <w:rFonts w:ascii="Times New Roman" w:hAnsi="Times New Roman"/>
                <w:sz w:val="20"/>
              </w:rPr>
            </w:pPr>
            <w:r>
              <w:rPr>
                <w:rFonts w:ascii="Times New Roman" w:hAnsi="Times New Roman"/>
                <w:sz w:val="20"/>
              </w:rPr>
              <w:t>No</w:t>
            </w:r>
          </w:p>
        </w:tc>
        <w:tc>
          <w:tcPr>
            <w:tcW w:w="120" w:type="dxa"/>
            <w:tcBorders/>
            <w:shd w:fill="CCEEFF" w:val="clear"/>
            <w:vAlign w:val="bottom"/>
          </w:tcPr>
          <w:p>
            <w:pPr>
              <w:pStyle w:val="TableContents"/>
              <w:bidi w:val="0"/>
              <w:spacing w:before="0" w:after="283"/>
              <w:jc w:val="left"/>
              <w:rPr/>
            </w:pPr>
            <w:r>
              <w:rPr/>
              <w:t>  </w:t>
            </w:r>
          </w:p>
        </w:tc>
        <w:tc>
          <w:tcPr>
            <w:tcW w:w="113" w:type="dxa"/>
            <w:tcBorders/>
            <w:shd w:fill="CCEEFF" w:val="clear"/>
          </w:tcPr>
          <w:p>
            <w:pPr>
              <w:pStyle w:val="TableContents"/>
              <w:bidi w:val="0"/>
              <w:spacing w:before="0" w:after="283"/>
              <w:jc w:val="left"/>
              <w:rPr/>
            </w:pPr>
            <w:r>
              <w:rPr/>
              <w:t> </w:t>
            </w:r>
          </w:p>
        </w:tc>
        <w:tc>
          <w:tcPr>
            <w:tcW w:w="1002" w:type="dxa"/>
            <w:tcBorders/>
            <w:shd w:fill="CCEEFF" w:val="clear"/>
          </w:tcPr>
          <w:p>
            <w:pPr>
              <w:pStyle w:val="TableContents"/>
              <w:bidi w:val="0"/>
              <w:jc w:val="right"/>
              <w:rPr/>
            </w:pPr>
            <w:r>
              <w:rPr/>
              <w:t>May-23</w:t>
            </w:r>
          </w:p>
          <w:p>
            <w:pPr>
              <w:pStyle w:val="TableContents"/>
              <w:bidi w:val="0"/>
              <w:spacing w:before="0" w:after="20"/>
              <w:jc w:val="right"/>
              <w:rPr>
                <w:rFonts w:ascii="Times New Roman" w:hAnsi="Times New Roman"/>
                <w:sz w:val="20"/>
              </w:rPr>
            </w:pPr>
            <w:r>
              <w:rPr>
                <w:rFonts w:ascii="Times New Roman" w:hAnsi="Times New Roman"/>
                <w:sz w:val="20"/>
              </w:rPr>
              <w:t>Nov-24</w:t>
            </w:r>
          </w:p>
        </w:tc>
        <w:tc>
          <w:tcPr>
            <w:tcW w:w="60" w:type="dxa"/>
            <w:tcBorders/>
            <w:shd w:fill="CCEEFF" w:val="clear"/>
          </w:tcPr>
          <w:p>
            <w:pPr>
              <w:pStyle w:val="TableContents"/>
              <w:bidi w:val="0"/>
              <w:jc w:val="left"/>
              <w:rPr/>
            </w:pPr>
            <w:r>
              <w:rPr/>
              <w:t> </w:t>
            </w:r>
          </w:p>
          <w:p>
            <w:pPr>
              <w:pStyle w:val="TableContents"/>
              <w:bidi w:val="0"/>
              <w:spacing w:before="0" w:after="20"/>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Nave Capella</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045" w:type="dxa"/>
            <w:tcBorders/>
          </w:tcPr>
          <w:p>
            <w:pPr>
              <w:pStyle w:val="TableContents"/>
              <w:bidi w:val="0"/>
              <w:spacing w:before="0" w:after="283"/>
              <w:jc w:val="right"/>
              <w:rPr/>
            </w:pPr>
            <w:r>
              <w:rPr/>
              <w:t>MR2 Product Tanker</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pPr>
            <w:r>
              <w:rPr/>
              <w:t>2013</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49,995</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3" w:type="dxa"/>
            <w:tcBorders/>
          </w:tcPr>
          <w:p>
            <w:pPr>
              <w:pStyle w:val="TableContents"/>
              <w:bidi w:val="0"/>
              <w:spacing w:before="0" w:after="283"/>
              <w:jc w:val="left"/>
              <w:rPr/>
            </w:pPr>
            <w:r>
              <w:rPr/>
              <w:t>$</w:t>
            </w:r>
          </w:p>
        </w:tc>
        <w:tc>
          <w:tcPr>
            <w:tcW w:w="1087" w:type="dxa"/>
            <w:tcBorders/>
          </w:tcPr>
          <w:p>
            <w:pPr>
              <w:pStyle w:val="TableContents"/>
              <w:bidi w:val="0"/>
              <w:spacing w:before="0" w:after="283"/>
              <w:jc w:val="right"/>
              <w:rPr/>
            </w:pPr>
            <w:r>
              <w:rPr/>
              <w:t>22,138</w:t>
            </w:r>
          </w:p>
        </w:tc>
        <w:tc>
          <w:tcPr>
            <w:tcW w:w="35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tcBorders/>
          </w:tcPr>
          <w:p>
            <w:pPr>
              <w:pStyle w:val="TableContents"/>
              <w:bidi w:val="0"/>
              <w:spacing w:before="0" w:after="283"/>
              <w:jc w:val="center"/>
              <w:rPr/>
            </w:pPr>
            <w:r>
              <w:rPr/>
              <w:t>No</w:t>
            </w:r>
          </w:p>
        </w:tc>
        <w:tc>
          <w:tcPr>
            <w:tcW w:w="120" w:type="dxa"/>
            <w:tcBorders/>
            <w:vAlign w:val="bottom"/>
          </w:tcPr>
          <w:p>
            <w:pPr>
              <w:pStyle w:val="TableContents"/>
              <w:bidi w:val="0"/>
              <w:spacing w:before="0" w:after="283"/>
              <w:jc w:val="left"/>
              <w:rPr/>
            </w:pPr>
            <w:r>
              <w:rPr/>
              <w:t>  </w:t>
            </w:r>
          </w:p>
        </w:tc>
        <w:tc>
          <w:tcPr>
            <w:tcW w:w="113" w:type="dxa"/>
            <w:tcBorders/>
          </w:tcPr>
          <w:p>
            <w:pPr>
              <w:pStyle w:val="TableContents"/>
              <w:bidi w:val="0"/>
              <w:spacing w:before="0" w:after="283"/>
              <w:jc w:val="left"/>
              <w:rPr/>
            </w:pPr>
            <w:r>
              <w:rPr/>
              <w:t> </w:t>
            </w:r>
          </w:p>
        </w:tc>
        <w:tc>
          <w:tcPr>
            <w:tcW w:w="1002" w:type="dxa"/>
            <w:tcBorders/>
          </w:tcPr>
          <w:p>
            <w:pPr>
              <w:pStyle w:val="TableContents"/>
              <w:bidi w:val="0"/>
              <w:spacing w:before="0" w:after="283"/>
              <w:jc w:val="right"/>
              <w:rPr/>
            </w:pPr>
            <w:r>
              <w:rPr/>
              <w:t>Jan-25</w:t>
            </w:r>
          </w:p>
        </w:tc>
        <w:tc>
          <w:tcPr>
            <w:tcW w:w="60" w:type="dxa"/>
            <w:tcBorders/>
          </w:tcPr>
          <w:p>
            <w:pPr>
              <w:pStyle w:val="TableContents"/>
              <w:bidi w:val="0"/>
              <w:spacing w:before="0" w:after="283"/>
              <w:jc w:val="left"/>
              <w:rPr/>
            </w:pPr>
            <w:r>
              <w:rPr/>
              <w:t> </w:t>
            </w:r>
          </w:p>
        </w:tc>
      </w:tr>
      <w:tr>
        <w:trPr/>
        <w:tc>
          <w:tcPr>
            <w:tcW w:w="1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 Alderamin</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5" w:type="dxa"/>
            <w:tcBorders/>
            <w:shd w:fill="CCEEFF" w:val="clear"/>
            <w:vAlign w:val="bottom"/>
          </w:tcPr>
          <w:p>
            <w:pPr>
              <w:pStyle w:val="TableContents"/>
              <w:bidi w:val="0"/>
              <w:spacing w:before="0" w:after="283"/>
              <w:jc w:val="right"/>
              <w:rPr/>
            </w:pPr>
            <w:r>
              <w:rPr/>
              <w:t>MR2 Product Tanker</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49,998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22,138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before="0" w:after="283"/>
              <w:jc w:val="center"/>
              <w:rPr/>
            </w:pPr>
            <w:r>
              <w:rPr/>
              <w:t>No</w:t>
            </w:r>
          </w:p>
        </w:tc>
        <w:tc>
          <w:tcPr>
            <w:tcW w:w="12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Nov-24</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2409"/>
        <w:gridCol w:w="162"/>
        <w:gridCol w:w="2100"/>
        <w:gridCol w:w="162"/>
        <w:gridCol w:w="501"/>
        <w:gridCol w:w="162"/>
        <w:gridCol w:w="60"/>
        <w:gridCol w:w="824"/>
        <w:gridCol w:w="60"/>
        <w:gridCol w:w="162"/>
        <w:gridCol w:w="140"/>
        <w:gridCol w:w="1536"/>
        <w:gridCol w:w="473"/>
        <w:gridCol w:w="108"/>
        <w:gridCol w:w="529"/>
        <w:gridCol w:w="108"/>
        <w:gridCol w:w="60"/>
        <w:gridCol w:w="583"/>
        <w:gridCol w:w="66"/>
      </w:tblGrid>
      <w:tr>
        <w:trPr/>
        <w:tc>
          <w:tcPr>
            <w:tcW w:w="2409"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 Bellatrix(5)</w:t>
            </w:r>
          </w:p>
        </w:tc>
        <w:tc>
          <w:tcPr>
            <w:tcW w:w="162" w:type="dxa"/>
            <w:tcBorders/>
            <w:shd w:fill="CCEEFF" w:val="clear"/>
            <w:vAlign w:val="bottom"/>
          </w:tcPr>
          <w:p>
            <w:pPr>
              <w:pStyle w:val="TableContents"/>
              <w:bidi w:val="0"/>
              <w:spacing w:before="0" w:after="283"/>
              <w:jc w:val="left"/>
              <w:rPr/>
            </w:pPr>
            <w:r>
              <w:rPr/>
              <w:t>  </w:t>
            </w:r>
          </w:p>
        </w:tc>
        <w:tc>
          <w:tcPr>
            <w:tcW w:w="2100" w:type="dxa"/>
            <w:tcBorders/>
            <w:shd w:fill="CCEEFF" w:val="clear"/>
          </w:tcPr>
          <w:p>
            <w:pPr>
              <w:pStyle w:val="TableContents"/>
              <w:bidi w:val="0"/>
              <w:spacing w:before="0" w:after="283"/>
              <w:jc w:val="center"/>
              <w:rPr/>
            </w:pPr>
            <w:r>
              <w:rPr/>
              <w:t>MR2 Product Tanker</w:t>
            </w:r>
          </w:p>
        </w:tc>
        <w:tc>
          <w:tcPr>
            <w:tcW w:w="162" w:type="dxa"/>
            <w:tcBorders/>
            <w:shd w:fill="CCEEFF" w:val="clear"/>
            <w:vAlign w:val="bottom"/>
          </w:tcPr>
          <w:p>
            <w:pPr>
              <w:pStyle w:val="TableContents"/>
              <w:bidi w:val="0"/>
              <w:spacing w:before="0" w:after="283"/>
              <w:jc w:val="left"/>
              <w:rPr/>
            </w:pPr>
            <w:r>
              <w:rPr/>
              <w:t>  </w:t>
            </w:r>
          </w:p>
        </w:tc>
        <w:tc>
          <w:tcPr>
            <w:tcW w:w="501" w:type="dxa"/>
            <w:tcBorders/>
            <w:shd w:fill="CCEEFF" w:val="clear"/>
          </w:tcPr>
          <w:p>
            <w:pPr>
              <w:pStyle w:val="TableContents"/>
              <w:bidi w:val="0"/>
              <w:spacing w:before="0" w:after="283"/>
              <w:jc w:val="center"/>
              <w:rPr/>
            </w:pPr>
            <w:r>
              <w:rPr/>
              <w:t>2013</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24" w:type="dxa"/>
            <w:tcBorders/>
            <w:shd w:fill="CCEEFF" w:val="clear"/>
          </w:tcPr>
          <w:p>
            <w:pPr>
              <w:pStyle w:val="TableContents"/>
              <w:bidi w:val="0"/>
              <w:spacing w:before="0" w:after="283"/>
              <w:jc w:val="right"/>
              <w:rPr/>
            </w:pPr>
            <w:r>
              <w:rPr/>
              <w:t>49,999</w:t>
            </w:r>
          </w:p>
        </w:tc>
        <w:tc>
          <w:tcPr>
            <w:tcW w:w="60" w:type="dxa"/>
            <w:tcBorders/>
            <w:shd w:fill="CCEEFF" w:val="clear"/>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1536" w:type="dxa"/>
            <w:tcBorders/>
            <w:shd w:fill="CCEEFF" w:val="clear"/>
          </w:tcPr>
          <w:p>
            <w:pPr>
              <w:pStyle w:val="TableContents"/>
              <w:bidi w:val="0"/>
              <w:spacing w:before="0" w:after="283"/>
              <w:jc w:val="right"/>
              <w:rPr/>
            </w:pPr>
            <w:r>
              <w:rPr/>
              <w:t>23,083</w:t>
            </w:r>
          </w:p>
        </w:tc>
        <w:tc>
          <w:tcPr>
            <w:tcW w:w="473" w:type="dxa"/>
            <w:tcBorders/>
            <w:shd w:fill="CCEEFF" w:val="clear"/>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529" w:type="dxa"/>
            <w:tcBorders/>
            <w:shd w:fill="CCEEFF" w:val="clear"/>
          </w:tcPr>
          <w:p>
            <w:pPr>
              <w:pStyle w:val="TableContents"/>
              <w:bidi w:val="0"/>
              <w:spacing w:before="0" w:after="283"/>
              <w:jc w:val="center"/>
              <w:rPr/>
            </w:pPr>
            <w:r>
              <w:rPr/>
              <w:t>No</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3" w:type="dxa"/>
            <w:tcBorders/>
            <w:shd w:fill="CCEEFF" w:val="clear"/>
          </w:tcPr>
          <w:p>
            <w:pPr>
              <w:pStyle w:val="TableContents"/>
              <w:bidi w:val="0"/>
              <w:spacing w:before="0" w:after="283"/>
              <w:jc w:val="right"/>
              <w:rPr/>
            </w:pPr>
            <w:r>
              <w:rPr/>
              <w:t>Aug-23</w:t>
            </w:r>
          </w:p>
        </w:tc>
        <w:tc>
          <w:tcPr>
            <w:tcW w:w="66" w:type="dxa"/>
            <w:tcBorders/>
            <w:shd w:fill="CCEEFF" w:val="clear"/>
          </w:tcPr>
          <w:p>
            <w:pPr>
              <w:pStyle w:val="TableContents"/>
              <w:bidi w:val="0"/>
              <w:spacing w:before="0" w:after="283"/>
              <w:jc w:val="left"/>
              <w:rPr/>
            </w:pPr>
            <w:r>
              <w:rPr/>
              <w:t> </w:t>
            </w:r>
          </w:p>
        </w:tc>
      </w:tr>
      <w:tr>
        <w:trPr/>
        <w:tc>
          <w:tcPr>
            <w:tcW w:w="2409" w:type="dxa"/>
            <w:tcBorders/>
          </w:tcPr>
          <w:p>
            <w:pPr>
              <w:pStyle w:val="TableContents"/>
              <w:bidi w:val="0"/>
              <w:spacing w:before="0" w:after="0"/>
              <w:jc w:val="left"/>
              <w:rPr>
                <w:rFonts w:ascii="Times New Roman" w:hAnsi="Times New Roman"/>
                <w:sz w:val="20"/>
              </w:rPr>
            </w:pPr>
            <w:r>
              <w:rPr>
                <w:rFonts w:ascii="Times New Roman" w:hAnsi="Times New Roman"/>
                <w:sz w:val="20"/>
              </w:rPr>
              <w:t>Nave Orion(5)</w:t>
            </w:r>
          </w:p>
        </w:tc>
        <w:tc>
          <w:tcPr>
            <w:tcW w:w="162" w:type="dxa"/>
            <w:tcBorders/>
            <w:vAlign w:val="bottom"/>
          </w:tcPr>
          <w:p>
            <w:pPr>
              <w:pStyle w:val="TableContents"/>
              <w:bidi w:val="0"/>
              <w:spacing w:before="0" w:after="283"/>
              <w:jc w:val="left"/>
              <w:rPr/>
            </w:pPr>
            <w:r>
              <w:rPr/>
              <w:t>  </w:t>
            </w:r>
          </w:p>
        </w:tc>
        <w:tc>
          <w:tcPr>
            <w:tcW w:w="2100" w:type="dxa"/>
            <w:tcBorders/>
          </w:tcPr>
          <w:p>
            <w:pPr>
              <w:pStyle w:val="TableContents"/>
              <w:bidi w:val="0"/>
              <w:spacing w:before="0" w:after="283"/>
              <w:jc w:val="center"/>
              <w:rPr/>
            </w:pPr>
            <w:r>
              <w:rPr/>
              <w:t>MR2 Product Tanker</w:t>
            </w:r>
          </w:p>
        </w:tc>
        <w:tc>
          <w:tcPr>
            <w:tcW w:w="162" w:type="dxa"/>
            <w:tcBorders/>
            <w:vAlign w:val="bottom"/>
          </w:tcPr>
          <w:p>
            <w:pPr>
              <w:pStyle w:val="TableContents"/>
              <w:bidi w:val="0"/>
              <w:spacing w:before="0" w:after="283"/>
              <w:jc w:val="left"/>
              <w:rPr/>
            </w:pPr>
            <w:r>
              <w:rPr/>
              <w:t>  </w:t>
            </w:r>
          </w:p>
        </w:tc>
        <w:tc>
          <w:tcPr>
            <w:tcW w:w="501" w:type="dxa"/>
            <w:tcBorders/>
          </w:tcPr>
          <w:p>
            <w:pPr>
              <w:pStyle w:val="TableContents"/>
              <w:bidi w:val="0"/>
              <w:spacing w:before="0" w:after="283"/>
              <w:jc w:val="center"/>
              <w:rPr/>
            </w:pPr>
            <w:r>
              <w:rPr/>
              <w:t>2013</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24" w:type="dxa"/>
            <w:tcBorders/>
          </w:tcPr>
          <w:p>
            <w:pPr>
              <w:pStyle w:val="TableContents"/>
              <w:bidi w:val="0"/>
              <w:spacing w:before="0" w:after="283"/>
              <w:jc w:val="right"/>
              <w:rPr/>
            </w:pPr>
            <w:r>
              <w:rPr/>
              <w:t>49,999</w:t>
            </w:r>
          </w:p>
        </w:tc>
        <w:tc>
          <w:tcPr>
            <w:tcW w:w="60" w:type="dxa"/>
            <w:tcBorders/>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536" w:type="dxa"/>
            <w:tcBorders/>
          </w:tcPr>
          <w:p>
            <w:pPr>
              <w:pStyle w:val="TableContents"/>
              <w:bidi w:val="0"/>
              <w:spacing w:before="0" w:after="283"/>
              <w:jc w:val="right"/>
              <w:rPr/>
            </w:pPr>
            <w:r>
              <w:rPr/>
              <w:t>22,138</w:t>
            </w:r>
          </w:p>
        </w:tc>
        <w:tc>
          <w:tcPr>
            <w:tcW w:w="473" w:type="dxa"/>
            <w:tcBorders/>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529" w:type="dxa"/>
            <w:tcBorders/>
          </w:tcPr>
          <w:p>
            <w:pPr>
              <w:pStyle w:val="TableContents"/>
              <w:bidi w:val="0"/>
              <w:spacing w:before="0" w:after="283"/>
              <w:jc w:val="center"/>
              <w:rPr/>
            </w:pPr>
            <w:r>
              <w:rPr/>
              <w:t>No</w:t>
            </w:r>
          </w:p>
        </w:tc>
        <w:tc>
          <w:tcPr>
            <w:tcW w:w="10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3" w:type="dxa"/>
            <w:tcBorders/>
          </w:tcPr>
          <w:p>
            <w:pPr>
              <w:pStyle w:val="TableContents"/>
              <w:bidi w:val="0"/>
              <w:spacing w:before="0" w:after="283"/>
              <w:jc w:val="right"/>
              <w:rPr/>
            </w:pPr>
            <w:r>
              <w:rPr/>
              <w:t>Dec-24</w:t>
            </w:r>
          </w:p>
        </w:tc>
        <w:tc>
          <w:tcPr>
            <w:tcW w:w="66" w:type="dxa"/>
            <w:tcBorders/>
          </w:tcPr>
          <w:p>
            <w:pPr>
              <w:pStyle w:val="TableContents"/>
              <w:bidi w:val="0"/>
              <w:spacing w:before="0" w:after="283"/>
              <w:jc w:val="left"/>
              <w:rPr/>
            </w:pPr>
            <w:r>
              <w:rPr/>
              <w:t> </w:t>
            </w:r>
          </w:p>
        </w:tc>
      </w:tr>
      <w:tr>
        <w:trPr/>
        <w:tc>
          <w:tcPr>
            <w:tcW w:w="2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 Titan</w:t>
            </w:r>
          </w:p>
        </w:tc>
        <w:tc>
          <w:tcPr>
            <w:tcW w:w="162" w:type="dxa"/>
            <w:tcBorders/>
            <w:shd w:fill="CCEEFF" w:val="clear"/>
            <w:vAlign w:val="bottom"/>
          </w:tcPr>
          <w:p>
            <w:pPr>
              <w:pStyle w:val="TableContents"/>
              <w:bidi w:val="0"/>
              <w:spacing w:before="0" w:after="283"/>
              <w:jc w:val="left"/>
              <w:rPr/>
            </w:pPr>
            <w:r>
              <w:rPr/>
              <w:t>  </w:t>
            </w:r>
          </w:p>
        </w:tc>
        <w:tc>
          <w:tcPr>
            <w:tcW w:w="2100" w:type="dxa"/>
            <w:tcBorders/>
            <w:shd w:fill="CCEEFF" w:val="clear"/>
          </w:tcPr>
          <w:p>
            <w:pPr>
              <w:pStyle w:val="TableContents"/>
              <w:bidi w:val="0"/>
              <w:spacing w:before="0" w:after="283"/>
              <w:jc w:val="center"/>
              <w:rPr/>
            </w:pPr>
            <w:r>
              <w:rPr/>
              <w:t>MR2 Product Tanker</w:t>
            </w:r>
          </w:p>
        </w:tc>
        <w:tc>
          <w:tcPr>
            <w:tcW w:w="162" w:type="dxa"/>
            <w:tcBorders/>
            <w:shd w:fill="CCEEFF" w:val="clear"/>
            <w:vAlign w:val="bottom"/>
          </w:tcPr>
          <w:p>
            <w:pPr>
              <w:pStyle w:val="TableContents"/>
              <w:bidi w:val="0"/>
              <w:spacing w:before="0" w:after="283"/>
              <w:jc w:val="left"/>
              <w:rPr/>
            </w:pPr>
            <w:r>
              <w:rPr/>
              <w:t>  </w:t>
            </w:r>
          </w:p>
        </w:tc>
        <w:tc>
          <w:tcPr>
            <w:tcW w:w="501" w:type="dxa"/>
            <w:tcBorders/>
            <w:shd w:fill="CCEEFF" w:val="clear"/>
          </w:tcPr>
          <w:p>
            <w:pPr>
              <w:pStyle w:val="TableContents"/>
              <w:bidi w:val="0"/>
              <w:spacing w:before="0" w:after="283"/>
              <w:jc w:val="center"/>
              <w:rPr/>
            </w:pPr>
            <w:r>
              <w:rPr/>
              <w:t>2013</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24" w:type="dxa"/>
            <w:tcBorders/>
            <w:shd w:fill="CCEEFF" w:val="clear"/>
          </w:tcPr>
          <w:p>
            <w:pPr>
              <w:pStyle w:val="TableContents"/>
              <w:bidi w:val="0"/>
              <w:spacing w:before="0" w:after="283"/>
              <w:jc w:val="right"/>
              <w:rPr/>
            </w:pPr>
            <w:r>
              <w:rPr/>
              <w:t>49,999</w:t>
            </w:r>
          </w:p>
        </w:tc>
        <w:tc>
          <w:tcPr>
            <w:tcW w:w="60" w:type="dxa"/>
            <w:tcBorders/>
            <w:shd w:fill="CCEEFF" w:val="clear"/>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1536" w:type="dxa"/>
            <w:tcBorders/>
            <w:shd w:fill="CCEEFF" w:val="clear"/>
          </w:tcPr>
          <w:p>
            <w:pPr>
              <w:pStyle w:val="TableContents"/>
              <w:bidi w:val="0"/>
              <w:spacing w:before="0" w:after="283"/>
              <w:jc w:val="right"/>
              <w:rPr/>
            </w:pPr>
            <w:r>
              <w:rPr/>
              <w:t>25,891</w:t>
            </w:r>
          </w:p>
        </w:tc>
        <w:tc>
          <w:tcPr>
            <w:tcW w:w="473" w:type="dxa"/>
            <w:tcBorders/>
            <w:shd w:fill="CCEEFF" w:val="clear"/>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529" w:type="dxa"/>
            <w:tcBorders/>
            <w:shd w:fill="CCEEFF" w:val="clear"/>
          </w:tcPr>
          <w:p>
            <w:pPr>
              <w:pStyle w:val="TableContents"/>
              <w:bidi w:val="0"/>
              <w:spacing w:before="0" w:after="283"/>
              <w:jc w:val="center"/>
              <w:rPr/>
            </w:pPr>
            <w:r>
              <w:rPr/>
              <w:t>No</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3" w:type="dxa"/>
            <w:tcBorders/>
            <w:shd w:fill="CCEEFF" w:val="clear"/>
          </w:tcPr>
          <w:p>
            <w:pPr>
              <w:pStyle w:val="TableContents"/>
              <w:bidi w:val="0"/>
              <w:spacing w:before="0" w:after="283"/>
              <w:jc w:val="right"/>
              <w:rPr/>
            </w:pPr>
            <w:r>
              <w:rPr/>
              <w:t>Feb-25</w:t>
            </w:r>
          </w:p>
        </w:tc>
        <w:tc>
          <w:tcPr>
            <w:tcW w:w="66" w:type="dxa"/>
            <w:tcBorders/>
            <w:shd w:fill="CCEEFF" w:val="clear"/>
          </w:tcPr>
          <w:p>
            <w:pPr>
              <w:pStyle w:val="TableContents"/>
              <w:bidi w:val="0"/>
              <w:spacing w:before="0" w:after="283"/>
              <w:jc w:val="left"/>
              <w:rPr/>
            </w:pPr>
            <w:r>
              <w:rPr/>
              <w:t> </w:t>
            </w:r>
          </w:p>
        </w:tc>
      </w:tr>
      <w:tr>
        <w:trPr/>
        <w:tc>
          <w:tcPr>
            <w:tcW w:w="2409" w:type="dxa"/>
            <w:tcBorders/>
          </w:tcPr>
          <w:p>
            <w:pPr>
              <w:pStyle w:val="TableContents"/>
              <w:bidi w:val="0"/>
              <w:spacing w:before="0" w:after="0"/>
              <w:jc w:val="left"/>
              <w:rPr>
                <w:rFonts w:ascii="Times New Roman" w:hAnsi="Times New Roman"/>
                <w:sz w:val="20"/>
              </w:rPr>
            </w:pPr>
            <w:r>
              <w:rPr>
                <w:rFonts w:ascii="Times New Roman" w:hAnsi="Times New Roman"/>
                <w:sz w:val="20"/>
              </w:rPr>
              <w:t>Bougainville(24)</w:t>
            </w:r>
          </w:p>
        </w:tc>
        <w:tc>
          <w:tcPr>
            <w:tcW w:w="162" w:type="dxa"/>
            <w:tcBorders/>
            <w:vAlign w:val="bottom"/>
          </w:tcPr>
          <w:p>
            <w:pPr>
              <w:pStyle w:val="TableContents"/>
              <w:bidi w:val="0"/>
              <w:spacing w:before="0" w:after="283"/>
              <w:jc w:val="left"/>
              <w:rPr/>
            </w:pPr>
            <w:r>
              <w:rPr/>
              <w:t>  </w:t>
            </w:r>
          </w:p>
        </w:tc>
        <w:tc>
          <w:tcPr>
            <w:tcW w:w="2100" w:type="dxa"/>
            <w:tcBorders/>
          </w:tcPr>
          <w:p>
            <w:pPr>
              <w:pStyle w:val="TableContents"/>
              <w:bidi w:val="0"/>
              <w:spacing w:before="0" w:after="283"/>
              <w:jc w:val="center"/>
              <w:rPr/>
            </w:pPr>
            <w:r>
              <w:rPr/>
              <w:t>MR2 Product Tanker</w:t>
            </w:r>
          </w:p>
        </w:tc>
        <w:tc>
          <w:tcPr>
            <w:tcW w:w="162" w:type="dxa"/>
            <w:tcBorders/>
            <w:vAlign w:val="bottom"/>
          </w:tcPr>
          <w:p>
            <w:pPr>
              <w:pStyle w:val="TableContents"/>
              <w:bidi w:val="0"/>
              <w:spacing w:before="0" w:after="283"/>
              <w:jc w:val="left"/>
              <w:rPr/>
            </w:pPr>
            <w:r>
              <w:rPr/>
              <w:t>  </w:t>
            </w:r>
          </w:p>
        </w:tc>
        <w:tc>
          <w:tcPr>
            <w:tcW w:w="501" w:type="dxa"/>
            <w:tcBorders/>
          </w:tcPr>
          <w:p>
            <w:pPr>
              <w:pStyle w:val="TableContents"/>
              <w:bidi w:val="0"/>
              <w:spacing w:before="0" w:after="283"/>
              <w:jc w:val="center"/>
              <w:rPr/>
            </w:pPr>
            <w:r>
              <w:rPr/>
              <w:t>2013</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24" w:type="dxa"/>
            <w:tcBorders/>
          </w:tcPr>
          <w:p>
            <w:pPr>
              <w:pStyle w:val="TableContents"/>
              <w:bidi w:val="0"/>
              <w:spacing w:before="0" w:after="283"/>
              <w:jc w:val="right"/>
              <w:rPr/>
            </w:pPr>
            <w:r>
              <w:rPr/>
              <w:t>50,626</w:t>
            </w:r>
          </w:p>
        </w:tc>
        <w:tc>
          <w:tcPr>
            <w:tcW w:w="60" w:type="dxa"/>
            <w:tcBorders/>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1536" w:type="dxa"/>
            <w:tcBorders/>
          </w:tcPr>
          <w:p>
            <w:pPr>
              <w:pStyle w:val="TableContents"/>
              <w:bidi w:val="0"/>
              <w:spacing w:before="0" w:after="283"/>
              <w:jc w:val="right"/>
              <w:rPr/>
            </w:pPr>
            <w:r>
              <w:rPr/>
              <w:t>Floating Rate</w:t>
            </w:r>
          </w:p>
        </w:tc>
        <w:tc>
          <w:tcPr>
            <w:tcW w:w="473" w:type="dxa"/>
            <w:tcBorders/>
          </w:tcPr>
          <w:p>
            <w:pPr>
              <w:pStyle w:val="TableContents"/>
              <w:bidi w:val="0"/>
              <w:spacing w:before="0" w:after="283"/>
              <w:jc w:val="left"/>
              <w:rPr/>
            </w:pPr>
            <w:r>
              <w:rPr/>
              <w:t>(9) </w:t>
            </w:r>
          </w:p>
        </w:tc>
        <w:tc>
          <w:tcPr>
            <w:tcW w:w="108" w:type="dxa"/>
            <w:tcBorders/>
            <w:vAlign w:val="bottom"/>
          </w:tcPr>
          <w:p>
            <w:pPr>
              <w:pStyle w:val="TableContents"/>
              <w:bidi w:val="0"/>
              <w:spacing w:before="0" w:after="283"/>
              <w:jc w:val="left"/>
              <w:rPr/>
            </w:pPr>
            <w:r>
              <w:rPr/>
              <w:t> </w:t>
            </w:r>
          </w:p>
        </w:tc>
        <w:tc>
          <w:tcPr>
            <w:tcW w:w="529" w:type="dxa"/>
            <w:tcBorders/>
          </w:tcPr>
          <w:p>
            <w:pPr>
              <w:pStyle w:val="TableContents"/>
              <w:bidi w:val="0"/>
              <w:spacing w:before="0" w:after="283"/>
              <w:jc w:val="center"/>
              <w:rPr/>
            </w:pPr>
            <w:r>
              <w:rPr/>
              <w:t>No</w:t>
            </w:r>
          </w:p>
        </w:tc>
        <w:tc>
          <w:tcPr>
            <w:tcW w:w="10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3" w:type="dxa"/>
            <w:tcBorders/>
          </w:tcPr>
          <w:p>
            <w:pPr>
              <w:pStyle w:val="TableContents"/>
              <w:bidi w:val="0"/>
              <w:spacing w:before="0" w:after="283"/>
              <w:jc w:val="right"/>
              <w:rPr/>
            </w:pPr>
            <w:r>
              <w:rPr/>
              <w:t>Dec-23</w:t>
            </w:r>
          </w:p>
        </w:tc>
        <w:tc>
          <w:tcPr>
            <w:tcW w:w="66" w:type="dxa"/>
            <w:tcBorders/>
          </w:tcPr>
          <w:p>
            <w:pPr>
              <w:pStyle w:val="TableContents"/>
              <w:bidi w:val="0"/>
              <w:spacing w:before="0" w:after="283"/>
              <w:jc w:val="left"/>
              <w:rPr/>
            </w:pPr>
            <w:r>
              <w:rPr/>
              <w:t> </w:t>
            </w:r>
          </w:p>
        </w:tc>
      </w:tr>
      <w:tr>
        <w:trPr/>
        <w:tc>
          <w:tcPr>
            <w:tcW w:w="2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 Pyxis(24)</w:t>
            </w:r>
          </w:p>
        </w:tc>
        <w:tc>
          <w:tcPr>
            <w:tcW w:w="162" w:type="dxa"/>
            <w:tcBorders/>
            <w:shd w:fill="CCEEFF" w:val="clear"/>
            <w:vAlign w:val="bottom"/>
          </w:tcPr>
          <w:p>
            <w:pPr>
              <w:pStyle w:val="TableContents"/>
              <w:bidi w:val="0"/>
              <w:spacing w:before="0" w:after="283"/>
              <w:jc w:val="left"/>
              <w:rPr/>
            </w:pPr>
            <w:r>
              <w:rPr/>
              <w:t>  </w:t>
            </w:r>
          </w:p>
        </w:tc>
        <w:tc>
          <w:tcPr>
            <w:tcW w:w="2100" w:type="dxa"/>
            <w:tcBorders/>
            <w:shd w:fill="CCEEFF" w:val="clear"/>
          </w:tcPr>
          <w:p>
            <w:pPr>
              <w:pStyle w:val="TableContents"/>
              <w:bidi w:val="0"/>
              <w:spacing w:before="0" w:after="283"/>
              <w:jc w:val="center"/>
              <w:rPr/>
            </w:pPr>
            <w:r>
              <w:rPr/>
              <w:t>MR2 Product Tanker</w:t>
            </w:r>
          </w:p>
        </w:tc>
        <w:tc>
          <w:tcPr>
            <w:tcW w:w="162" w:type="dxa"/>
            <w:tcBorders/>
            <w:shd w:fill="CCEEFF" w:val="clear"/>
            <w:vAlign w:val="bottom"/>
          </w:tcPr>
          <w:p>
            <w:pPr>
              <w:pStyle w:val="TableContents"/>
              <w:bidi w:val="0"/>
              <w:spacing w:before="0" w:after="283"/>
              <w:jc w:val="left"/>
              <w:rPr/>
            </w:pPr>
            <w:r>
              <w:rPr/>
              <w:t>  </w:t>
            </w:r>
          </w:p>
        </w:tc>
        <w:tc>
          <w:tcPr>
            <w:tcW w:w="501" w:type="dxa"/>
            <w:tcBorders/>
            <w:shd w:fill="CCEEFF" w:val="clear"/>
          </w:tcPr>
          <w:p>
            <w:pPr>
              <w:pStyle w:val="TableContents"/>
              <w:bidi w:val="0"/>
              <w:spacing w:before="0" w:after="283"/>
              <w:jc w:val="center"/>
              <w:rPr/>
            </w:pPr>
            <w:r>
              <w:rPr/>
              <w:t>2014</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24" w:type="dxa"/>
            <w:tcBorders/>
            <w:shd w:fill="CCEEFF" w:val="clear"/>
          </w:tcPr>
          <w:p>
            <w:pPr>
              <w:pStyle w:val="TableContents"/>
              <w:bidi w:val="0"/>
              <w:spacing w:before="0" w:after="283"/>
              <w:jc w:val="right"/>
              <w:rPr/>
            </w:pPr>
            <w:r>
              <w:rPr/>
              <w:t>49,998</w:t>
            </w:r>
          </w:p>
        </w:tc>
        <w:tc>
          <w:tcPr>
            <w:tcW w:w="60" w:type="dxa"/>
            <w:tcBorders/>
            <w:shd w:fill="CCEEFF" w:val="clear"/>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1536" w:type="dxa"/>
            <w:tcBorders/>
            <w:shd w:fill="CCEEFF" w:val="clear"/>
          </w:tcPr>
          <w:p>
            <w:pPr>
              <w:pStyle w:val="TableContents"/>
              <w:bidi w:val="0"/>
              <w:spacing w:before="0" w:after="283"/>
              <w:jc w:val="right"/>
              <w:rPr/>
            </w:pPr>
            <w:r>
              <w:rPr/>
              <w:t>25,891</w:t>
            </w:r>
          </w:p>
        </w:tc>
        <w:tc>
          <w:tcPr>
            <w:tcW w:w="473" w:type="dxa"/>
            <w:tcBorders/>
            <w:shd w:fill="CCEEFF" w:val="clear"/>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529" w:type="dxa"/>
            <w:tcBorders/>
            <w:shd w:fill="CCEEFF" w:val="clear"/>
          </w:tcPr>
          <w:p>
            <w:pPr>
              <w:pStyle w:val="TableContents"/>
              <w:bidi w:val="0"/>
              <w:spacing w:before="0" w:after="283"/>
              <w:jc w:val="center"/>
              <w:rPr/>
            </w:pPr>
            <w:r>
              <w:rPr/>
              <w:t>No</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3" w:type="dxa"/>
            <w:tcBorders/>
            <w:shd w:fill="CCEEFF" w:val="clear"/>
          </w:tcPr>
          <w:p>
            <w:pPr>
              <w:pStyle w:val="TableContents"/>
              <w:bidi w:val="0"/>
              <w:spacing w:before="0" w:after="283"/>
              <w:jc w:val="right"/>
              <w:rPr/>
            </w:pPr>
            <w:r>
              <w:rPr/>
              <w:t>Jan-25</w:t>
            </w:r>
          </w:p>
        </w:tc>
        <w:tc>
          <w:tcPr>
            <w:tcW w:w="66" w:type="dxa"/>
            <w:tcBorders/>
            <w:shd w:fill="CCEEFF" w:val="clear"/>
          </w:tcPr>
          <w:p>
            <w:pPr>
              <w:pStyle w:val="TableContents"/>
              <w:bidi w:val="0"/>
              <w:spacing w:before="0" w:after="283"/>
              <w:jc w:val="left"/>
              <w:rPr/>
            </w:pPr>
            <w:r>
              <w:rPr/>
              <w:t> </w:t>
            </w:r>
          </w:p>
        </w:tc>
      </w:tr>
      <w:tr>
        <w:trPr/>
        <w:tc>
          <w:tcPr>
            <w:tcW w:w="2409" w:type="dxa"/>
            <w:tcBorders/>
          </w:tcPr>
          <w:p>
            <w:pPr>
              <w:pStyle w:val="TableContents"/>
              <w:bidi w:val="0"/>
              <w:spacing w:before="0" w:after="0"/>
              <w:jc w:val="left"/>
              <w:rPr>
                <w:rFonts w:ascii="Times New Roman" w:hAnsi="Times New Roman"/>
                <w:sz w:val="20"/>
              </w:rPr>
            </w:pPr>
            <w:r>
              <w:rPr>
                <w:rFonts w:ascii="Times New Roman" w:hAnsi="Times New Roman"/>
                <w:sz w:val="20"/>
              </w:rPr>
              <w:t>Nave Luminosity</w:t>
            </w:r>
          </w:p>
        </w:tc>
        <w:tc>
          <w:tcPr>
            <w:tcW w:w="162" w:type="dxa"/>
            <w:tcBorders/>
            <w:vAlign w:val="bottom"/>
          </w:tcPr>
          <w:p>
            <w:pPr>
              <w:pStyle w:val="TableContents"/>
              <w:bidi w:val="0"/>
              <w:spacing w:before="0" w:after="283"/>
              <w:jc w:val="left"/>
              <w:rPr/>
            </w:pPr>
            <w:r>
              <w:rPr/>
              <w:t>  </w:t>
            </w:r>
          </w:p>
        </w:tc>
        <w:tc>
          <w:tcPr>
            <w:tcW w:w="2100" w:type="dxa"/>
            <w:tcBorders/>
          </w:tcPr>
          <w:p>
            <w:pPr>
              <w:pStyle w:val="TableContents"/>
              <w:bidi w:val="0"/>
              <w:spacing w:before="0" w:after="283"/>
              <w:jc w:val="center"/>
              <w:rPr/>
            </w:pPr>
            <w:r>
              <w:rPr/>
              <w:t>MR2 Product Tanker</w:t>
            </w:r>
          </w:p>
        </w:tc>
        <w:tc>
          <w:tcPr>
            <w:tcW w:w="162" w:type="dxa"/>
            <w:tcBorders/>
            <w:vAlign w:val="bottom"/>
          </w:tcPr>
          <w:p>
            <w:pPr>
              <w:pStyle w:val="TableContents"/>
              <w:bidi w:val="0"/>
              <w:spacing w:before="0" w:after="283"/>
              <w:jc w:val="left"/>
              <w:rPr/>
            </w:pPr>
            <w:r>
              <w:rPr/>
              <w:t>  </w:t>
            </w:r>
          </w:p>
        </w:tc>
        <w:tc>
          <w:tcPr>
            <w:tcW w:w="501" w:type="dxa"/>
            <w:tcBorders/>
          </w:tcPr>
          <w:p>
            <w:pPr>
              <w:pStyle w:val="TableContents"/>
              <w:bidi w:val="0"/>
              <w:spacing w:before="0" w:after="283"/>
              <w:jc w:val="center"/>
              <w:rPr/>
            </w:pPr>
            <w:r>
              <w:rPr/>
              <w:t>2014</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24" w:type="dxa"/>
            <w:tcBorders/>
          </w:tcPr>
          <w:p>
            <w:pPr>
              <w:pStyle w:val="TableContents"/>
              <w:bidi w:val="0"/>
              <w:spacing w:before="0" w:after="283"/>
              <w:jc w:val="right"/>
              <w:rPr/>
            </w:pPr>
            <w:r>
              <w:rPr/>
              <w:t>49,999</w:t>
            </w:r>
          </w:p>
        </w:tc>
        <w:tc>
          <w:tcPr>
            <w:tcW w:w="60" w:type="dxa"/>
            <w:tcBorders/>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536" w:type="dxa"/>
            <w:tcBorders/>
          </w:tcPr>
          <w:p>
            <w:pPr>
              <w:pStyle w:val="TableContents"/>
              <w:bidi w:val="0"/>
              <w:spacing w:before="0" w:after="283"/>
              <w:jc w:val="right"/>
              <w:rPr/>
            </w:pPr>
            <w:r>
              <w:rPr/>
              <w:t>23,004</w:t>
            </w:r>
          </w:p>
        </w:tc>
        <w:tc>
          <w:tcPr>
            <w:tcW w:w="473" w:type="dxa"/>
            <w:tcBorders/>
          </w:tcPr>
          <w:p>
            <w:pPr>
              <w:pStyle w:val="TableContents"/>
              <w:bidi w:val="0"/>
              <w:spacing w:before="0" w:after="283"/>
              <w:jc w:val="left"/>
              <w:rPr/>
            </w:pPr>
            <w:r>
              <w:rPr/>
              <w:t>(10) </w:t>
            </w:r>
          </w:p>
        </w:tc>
        <w:tc>
          <w:tcPr>
            <w:tcW w:w="108" w:type="dxa"/>
            <w:tcBorders/>
            <w:vAlign w:val="bottom"/>
          </w:tcPr>
          <w:p>
            <w:pPr>
              <w:pStyle w:val="TableContents"/>
              <w:bidi w:val="0"/>
              <w:spacing w:before="0" w:after="283"/>
              <w:jc w:val="left"/>
              <w:rPr/>
            </w:pPr>
            <w:r>
              <w:rPr/>
              <w:t> </w:t>
            </w:r>
          </w:p>
        </w:tc>
        <w:tc>
          <w:tcPr>
            <w:tcW w:w="529" w:type="dxa"/>
            <w:tcBorders/>
          </w:tcPr>
          <w:p>
            <w:pPr>
              <w:pStyle w:val="TableContents"/>
              <w:bidi w:val="0"/>
              <w:spacing w:before="0" w:after="283"/>
              <w:jc w:val="center"/>
              <w:rPr/>
            </w:pPr>
            <w:r>
              <w:rPr/>
              <w:t>No</w:t>
            </w:r>
          </w:p>
        </w:tc>
        <w:tc>
          <w:tcPr>
            <w:tcW w:w="10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3" w:type="dxa"/>
            <w:tcBorders/>
          </w:tcPr>
          <w:p>
            <w:pPr>
              <w:pStyle w:val="TableContents"/>
              <w:bidi w:val="0"/>
              <w:spacing w:before="0" w:after="283"/>
              <w:jc w:val="right"/>
              <w:rPr/>
            </w:pPr>
            <w:r>
              <w:rPr/>
              <w:t>Dec-25</w:t>
            </w:r>
          </w:p>
        </w:tc>
        <w:tc>
          <w:tcPr>
            <w:tcW w:w="66" w:type="dxa"/>
            <w:tcBorders/>
          </w:tcPr>
          <w:p>
            <w:pPr>
              <w:pStyle w:val="TableContents"/>
              <w:bidi w:val="0"/>
              <w:spacing w:before="0" w:after="283"/>
              <w:jc w:val="left"/>
              <w:rPr/>
            </w:pPr>
            <w:r>
              <w:rPr/>
              <w:t> </w:t>
            </w:r>
          </w:p>
        </w:tc>
      </w:tr>
      <w:tr>
        <w:trPr/>
        <w:tc>
          <w:tcPr>
            <w:tcW w:w="2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 Jupiter</w:t>
            </w:r>
          </w:p>
        </w:tc>
        <w:tc>
          <w:tcPr>
            <w:tcW w:w="162" w:type="dxa"/>
            <w:tcBorders/>
            <w:shd w:fill="CCEEFF" w:val="clear"/>
            <w:vAlign w:val="bottom"/>
          </w:tcPr>
          <w:p>
            <w:pPr>
              <w:pStyle w:val="TableContents"/>
              <w:bidi w:val="0"/>
              <w:spacing w:before="0" w:after="283"/>
              <w:jc w:val="left"/>
              <w:rPr/>
            </w:pPr>
            <w:r>
              <w:rPr/>
              <w:t>  </w:t>
            </w:r>
          </w:p>
        </w:tc>
        <w:tc>
          <w:tcPr>
            <w:tcW w:w="2100" w:type="dxa"/>
            <w:tcBorders/>
            <w:shd w:fill="CCEEFF" w:val="clear"/>
          </w:tcPr>
          <w:p>
            <w:pPr>
              <w:pStyle w:val="TableContents"/>
              <w:bidi w:val="0"/>
              <w:spacing w:before="0" w:after="283"/>
              <w:jc w:val="center"/>
              <w:rPr/>
            </w:pPr>
            <w:r>
              <w:rPr/>
              <w:t>MR2 Product Tanker</w:t>
            </w:r>
          </w:p>
        </w:tc>
        <w:tc>
          <w:tcPr>
            <w:tcW w:w="162" w:type="dxa"/>
            <w:tcBorders/>
            <w:shd w:fill="CCEEFF" w:val="clear"/>
            <w:vAlign w:val="bottom"/>
          </w:tcPr>
          <w:p>
            <w:pPr>
              <w:pStyle w:val="TableContents"/>
              <w:bidi w:val="0"/>
              <w:spacing w:before="0" w:after="283"/>
              <w:jc w:val="left"/>
              <w:rPr/>
            </w:pPr>
            <w:r>
              <w:rPr/>
              <w:t>  </w:t>
            </w:r>
          </w:p>
        </w:tc>
        <w:tc>
          <w:tcPr>
            <w:tcW w:w="501" w:type="dxa"/>
            <w:tcBorders/>
            <w:shd w:fill="CCEEFF" w:val="clear"/>
          </w:tcPr>
          <w:p>
            <w:pPr>
              <w:pStyle w:val="TableContents"/>
              <w:bidi w:val="0"/>
              <w:spacing w:before="0" w:after="283"/>
              <w:jc w:val="center"/>
              <w:rPr/>
            </w:pPr>
            <w:r>
              <w:rPr/>
              <w:t>2014</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24" w:type="dxa"/>
            <w:tcBorders/>
            <w:shd w:fill="CCEEFF" w:val="clear"/>
          </w:tcPr>
          <w:p>
            <w:pPr>
              <w:pStyle w:val="TableContents"/>
              <w:bidi w:val="0"/>
              <w:spacing w:before="0" w:after="283"/>
              <w:jc w:val="right"/>
              <w:rPr/>
            </w:pPr>
            <w:r>
              <w:rPr/>
              <w:t>49,999</w:t>
            </w:r>
          </w:p>
        </w:tc>
        <w:tc>
          <w:tcPr>
            <w:tcW w:w="60" w:type="dxa"/>
            <w:tcBorders/>
            <w:shd w:fill="CCEEFF" w:val="clear"/>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1536" w:type="dxa"/>
            <w:tcBorders/>
            <w:shd w:fill="CCEEFF" w:val="clear"/>
          </w:tcPr>
          <w:p>
            <w:pPr>
              <w:pStyle w:val="TableContents"/>
              <w:bidi w:val="0"/>
              <w:spacing w:before="0" w:after="283"/>
              <w:jc w:val="right"/>
              <w:rPr/>
            </w:pPr>
            <w:r>
              <w:rPr/>
              <w:t>16,491</w:t>
            </w:r>
          </w:p>
        </w:tc>
        <w:tc>
          <w:tcPr>
            <w:tcW w:w="473" w:type="dxa"/>
            <w:tcBorders/>
            <w:shd w:fill="CCEEFF" w:val="clear"/>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529" w:type="dxa"/>
            <w:tcBorders/>
            <w:shd w:fill="CCEEFF" w:val="clear"/>
          </w:tcPr>
          <w:p>
            <w:pPr>
              <w:pStyle w:val="TableContents"/>
              <w:bidi w:val="0"/>
              <w:spacing w:before="0" w:after="283"/>
              <w:jc w:val="center"/>
              <w:rPr/>
            </w:pPr>
            <w:r>
              <w:rPr/>
              <w:t>No</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3" w:type="dxa"/>
            <w:tcBorders/>
            <w:shd w:fill="CCEEFF" w:val="clear"/>
          </w:tcPr>
          <w:p>
            <w:pPr>
              <w:pStyle w:val="TableContents"/>
              <w:bidi w:val="0"/>
              <w:spacing w:before="0" w:after="283"/>
              <w:jc w:val="right"/>
              <w:rPr/>
            </w:pPr>
            <w:r>
              <w:rPr/>
              <w:t>Aug-23</w:t>
            </w:r>
          </w:p>
        </w:tc>
        <w:tc>
          <w:tcPr>
            <w:tcW w:w="66" w:type="dxa"/>
            <w:tcBorders/>
            <w:shd w:fill="CCEEFF" w:val="clear"/>
          </w:tcPr>
          <w:p>
            <w:pPr>
              <w:pStyle w:val="TableContents"/>
              <w:bidi w:val="0"/>
              <w:spacing w:before="0" w:after="283"/>
              <w:jc w:val="left"/>
              <w:rPr/>
            </w:pPr>
            <w:r>
              <w:rPr/>
              <w:t> </w:t>
            </w:r>
          </w:p>
        </w:tc>
      </w:tr>
      <w:tr>
        <w:trPr/>
        <w:tc>
          <w:tcPr>
            <w:tcW w:w="2409" w:type="dxa"/>
            <w:tcBorders/>
          </w:tcPr>
          <w:p>
            <w:pPr>
              <w:pStyle w:val="TableContents"/>
              <w:bidi w:val="0"/>
              <w:spacing w:before="0" w:after="0"/>
              <w:jc w:val="left"/>
              <w:rPr>
                <w:rFonts w:ascii="Times New Roman" w:hAnsi="Times New Roman"/>
                <w:sz w:val="20"/>
              </w:rPr>
            </w:pPr>
            <w:r>
              <w:rPr>
                <w:rFonts w:ascii="Times New Roman" w:hAnsi="Times New Roman"/>
                <w:sz w:val="20"/>
              </w:rPr>
              <w:t>Nave Velocity</w:t>
            </w:r>
          </w:p>
        </w:tc>
        <w:tc>
          <w:tcPr>
            <w:tcW w:w="162" w:type="dxa"/>
            <w:tcBorders/>
            <w:vAlign w:val="bottom"/>
          </w:tcPr>
          <w:p>
            <w:pPr>
              <w:pStyle w:val="TableContents"/>
              <w:bidi w:val="0"/>
              <w:spacing w:before="0" w:after="283"/>
              <w:jc w:val="left"/>
              <w:rPr/>
            </w:pPr>
            <w:r>
              <w:rPr/>
              <w:t>  </w:t>
            </w:r>
          </w:p>
        </w:tc>
        <w:tc>
          <w:tcPr>
            <w:tcW w:w="2100" w:type="dxa"/>
            <w:tcBorders/>
          </w:tcPr>
          <w:p>
            <w:pPr>
              <w:pStyle w:val="TableContents"/>
              <w:bidi w:val="0"/>
              <w:spacing w:before="0" w:after="283"/>
              <w:jc w:val="center"/>
              <w:rPr/>
            </w:pPr>
            <w:r>
              <w:rPr/>
              <w:t>MR2 Product Tanker</w:t>
            </w:r>
          </w:p>
        </w:tc>
        <w:tc>
          <w:tcPr>
            <w:tcW w:w="162" w:type="dxa"/>
            <w:tcBorders/>
            <w:vAlign w:val="bottom"/>
          </w:tcPr>
          <w:p>
            <w:pPr>
              <w:pStyle w:val="TableContents"/>
              <w:bidi w:val="0"/>
              <w:spacing w:before="0" w:after="283"/>
              <w:jc w:val="left"/>
              <w:rPr/>
            </w:pPr>
            <w:r>
              <w:rPr/>
              <w:t>  </w:t>
            </w:r>
          </w:p>
        </w:tc>
        <w:tc>
          <w:tcPr>
            <w:tcW w:w="501" w:type="dxa"/>
            <w:tcBorders/>
          </w:tcPr>
          <w:p>
            <w:pPr>
              <w:pStyle w:val="TableContents"/>
              <w:bidi w:val="0"/>
              <w:spacing w:before="0" w:after="283"/>
              <w:jc w:val="center"/>
              <w:rPr/>
            </w:pPr>
            <w:r>
              <w:rPr/>
              <w:t>2015</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24" w:type="dxa"/>
            <w:tcBorders/>
          </w:tcPr>
          <w:p>
            <w:pPr>
              <w:pStyle w:val="TableContents"/>
              <w:bidi w:val="0"/>
              <w:spacing w:before="0" w:after="283"/>
              <w:jc w:val="right"/>
              <w:rPr/>
            </w:pPr>
            <w:r>
              <w:rPr/>
              <w:t>49,999</w:t>
            </w:r>
          </w:p>
        </w:tc>
        <w:tc>
          <w:tcPr>
            <w:tcW w:w="60" w:type="dxa"/>
            <w:tcBorders/>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536" w:type="dxa"/>
            <w:tcBorders/>
          </w:tcPr>
          <w:p>
            <w:pPr>
              <w:pStyle w:val="TableContents"/>
              <w:bidi w:val="0"/>
              <w:spacing w:before="0" w:after="283"/>
              <w:jc w:val="right"/>
              <w:rPr/>
            </w:pPr>
            <w:r>
              <w:rPr/>
              <w:t>15,553</w:t>
            </w:r>
          </w:p>
        </w:tc>
        <w:tc>
          <w:tcPr>
            <w:tcW w:w="473" w:type="dxa"/>
            <w:tcBorders/>
          </w:tcPr>
          <w:p>
            <w:pPr>
              <w:pStyle w:val="TableContents"/>
              <w:bidi w:val="0"/>
              <w:spacing w:before="0" w:after="283"/>
              <w:jc w:val="left"/>
              <w:rPr/>
            </w:pPr>
            <w:r>
              <w:rPr/>
              <w:t>(11) </w:t>
            </w:r>
          </w:p>
        </w:tc>
        <w:tc>
          <w:tcPr>
            <w:tcW w:w="108" w:type="dxa"/>
            <w:tcBorders/>
            <w:vAlign w:val="bottom"/>
          </w:tcPr>
          <w:p>
            <w:pPr>
              <w:pStyle w:val="TableContents"/>
              <w:bidi w:val="0"/>
              <w:spacing w:before="0" w:after="283"/>
              <w:jc w:val="left"/>
              <w:rPr/>
            </w:pPr>
            <w:r>
              <w:rPr/>
              <w:t> </w:t>
            </w:r>
          </w:p>
        </w:tc>
        <w:tc>
          <w:tcPr>
            <w:tcW w:w="529" w:type="dxa"/>
            <w:tcBorders/>
          </w:tcPr>
          <w:p>
            <w:pPr>
              <w:pStyle w:val="TableContents"/>
              <w:bidi w:val="0"/>
              <w:spacing w:before="0" w:after="283"/>
              <w:jc w:val="center"/>
              <w:rPr/>
            </w:pPr>
            <w:r>
              <w:rPr/>
              <w:t>No</w:t>
            </w:r>
          </w:p>
        </w:tc>
        <w:tc>
          <w:tcPr>
            <w:tcW w:w="10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3" w:type="dxa"/>
            <w:tcBorders/>
          </w:tcPr>
          <w:p>
            <w:pPr>
              <w:pStyle w:val="TableContents"/>
              <w:bidi w:val="0"/>
              <w:spacing w:before="0" w:after="283"/>
              <w:jc w:val="right"/>
              <w:rPr/>
            </w:pPr>
            <w:r>
              <w:rPr/>
              <w:t>Oct-24</w:t>
            </w:r>
          </w:p>
        </w:tc>
        <w:tc>
          <w:tcPr>
            <w:tcW w:w="66" w:type="dxa"/>
            <w:tcBorders/>
          </w:tcPr>
          <w:p>
            <w:pPr>
              <w:pStyle w:val="TableContents"/>
              <w:bidi w:val="0"/>
              <w:spacing w:before="0" w:after="283"/>
              <w:jc w:val="left"/>
              <w:rPr/>
            </w:pPr>
            <w:r>
              <w:rPr/>
              <w:t> </w:t>
            </w:r>
          </w:p>
        </w:tc>
      </w:tr>
      <w:tr>
        <w:trPr/>
        <w:tc>
          <w:tcPr>
            <w:tcW w:w="2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 Sextans</w:t>
            </w:r>
          </w:p>
        </w:tc>
        <w:tc>
          <w:tcPr>
            <w:tcW w:w="162" w:type="dxa"/>
            <w:tcBorders/>
            <w:shd w:fill="CCEEFF" w:val="clear"/>
            <w:vAlign w:val="bottom"/>
          </w:tcPr>
          <w:p>
            <w:pPr>
              <w:pStyle w:val="TableContents"/>
              <w:bidi w:val="0"/>
              <w:spacing w:before="0" w:after="283"/>
              <w:jc w:val="left"/>
              <w:rPr/>
            </w:pPr>
            <w:r>
              <w:rPr/>
              <w:t>  </w:t>
            </w:r>
          </w:p>
        </w:tc>
        <w:tc>
          <w:tcPr>
            <w:tcW w:w="2100" w:type="dxa"/>
            <w:tcBorders/>
            <w:shd w:fill="CCEEFF" w:val="clear"/>
          </w:tcPr>
          <w:p>
            <w:pPr>
              <w:pStyle w:val="TableContents"/>
              <w:bidi w:val="0"/>
              <w:spacing w:before="0" w:after="283"/>
              <w:jc w:val="center"/>
              <w:rPr/>
            </w:pPr>
            <w:r>
              <w:rPr/>
              <w:t>MR2 Product Tanker</w:t>
            </w:r>
          </w:p>
        </w:tc>
        <w:tc>
          <w:tcPr>
            <w:tcW w:w="162" w:type="dxa"/>
            <w:tcBorders/>
            <w:shd w:fill="CCEEFF" w:val="clear"/>
            <w:vAlign w:val="bottom"/>
          </w:tcPr>
          <w:p>
            <w:pPr>
              <w:pStyle w:val="TableContents"/>
              <w:bidi w:val="0"/>
              <w:spacing w:before="0" w:after="283"/>
              <w:jc w:val="left"/>
              <w:rPr/>
            </w:pPr>
            <w:r>
              <w:rPr/>
              <w:t>  </w:t>
            </w:r>
          </w:p>
        </w:tc>
        <w:tc>
          <w:tcPr>
            <w:tcW w:w="501" w:type="dxa"/>
            <w:tcBorders/>
            <w:shd w:fill="CCEEFF" w:val="clear"/>
          </w:tcPr>
          <w:p>
            <w:pPr>
              <w:pStyle w:val="TableContents"/>
              <w:bidi w:val="0"/>
              <w:spacing w:before="0" w:after="283"/>
              <w:jc w:val="center"/>
              <w:rPr/>
            </w:pPr>
            <w:r>
              <w:rPr/>
              <w:t>2015</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24" w:type="dxa"/>
            <w:tcBorders/>
            <w:shd w:fill="CCEEFF" w:val="clear"/>
          </w:tcPr>
          <w:p>
            <w:pPr>
              <w:pStyle w:val="TableContents"/>
              <w:bidi w:val="0"/>
              <w:spacing w:before="0" w:after="283"/>
              <w:jc w:val="right"/>
              <w:rPr/>
            </w:pPr>
            <w:r>
              <w:rPr/>
              <w:t>49,999</w:t>
            </w:r>
          </w:p>
        </w:tc>
        <w:tc>
          <w:tcPr>
            <w:tcW w:w="60" w:type="dxa"/>
            <w:tcBorders/>
            <w:shd w:fill="CCEEFF" w:val="clear"/>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1536" w:type="dxa"/>
            <w:tcBorders/>
            <w:shd w:fill="CCEEFF" w:val="clear"/>
          </w:tcPr>
          <w:p>
            <w:pPr>
              <w:pStyle w:val="TableContents"/>
              <w:bidi w:val="0"/>
              <w:spacing w:before="0" w:after="283"/>
              <w:jc w:val="right"/>
              <w:rPr/>
            </w:pPr>
            <w:r>
              <w:rPr/>
              <w:t>16,844</w:t>
            </w:r>
          </w:p>
        </w:tc>
        <w:tc>
          <w:tcPr>
            <w:tcW w:w="473" w:type="dxa"/>
            <w:tcBorders/>
            <w:shd w:fill="CCEEFF" w:val="clear"/>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529" w:type="dxa"/>
            <w:tcBorders/>
            <w:shd w:fill="CCEEFF" w:val="clear"/>
          </w:tcPr>
          <w:p>
            <w:pPr>
              <w:pStyle w:val="TableContents"/>
              <w:bidi w:val="0"/>
              <w:spacing w:before="0" w:after="283"/>
              <w:jc w:val="center"/>
              <w:rPr/>
            </w:pPr>
            <w:r>
              <w:rPr/>
              <w:t>No</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3" w:type="dxa"/>
            <w:tcBorders/>
            <w:shd w:fill="CCEEFF" w:val="clear"/>
          </w:tcPr>
          <w:p>
            <w:pPr>
              <w:pStyle w:val="TableContents"/>
              <w:bidi w:val="0"/>
              <w:spacing w:before="0" w:after="283"/>
              <w:jc w:val="right"/>
              <w:rPr/>
            </w:pPr>
            <w:r>
              <w:rPr/>
              <w:t>May-23</w:t>
            </w:r>
          </w:p>
        </w:tc>
        <w:tc>
          <w:tcPr>
            <w:tcW w:w="66" w:type="dxa"/>
            <w:tcBorders/>
            <w:shd w:fill="CCEEFF" w:val="clear"/>
          </w:tcPr>
          <w:p>
            <w:pPr>
              <w:pStyle w:val="TableContents"/>
              <w:bidi w:val="0"/>
              <w:spacing w:before="0" w:after="283"/>
              <w:jc w:val="left"/>
              <w:rPr/>
            </w:pPr>
            <w:r>
              <w:rPr/>
              <w:t> </w:t>
            </w:r>
          </w:p>
        </w:tc>
      </w:tr>
      <w:tr>
        <w:trPr/>
        <w:tc>
          <w:tcPr>
            <w:tcW w:w="2409"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100"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501"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24"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536" w:type="dxa"/>
            <w:tcBorders/>
          </w:tcPr>
          <w:p>
            <w:pPr>
              <w:pStyle w:val="TableContents"/>
              <w:bidi w:val="0"/>
              <w:spacing w:before="0" w:after="283"/>
              <w:jc w:val="right"/>
              <w:rPr/>
            </w:pPr>
            <w:r>
              <w:rPr/>
              <w:t>23,196</w:t>
            </w:r>
          </w:p>
        </w:tc>
        <w:tc>
          <w:tcPr>
            <w:tcW w:w="473" w:type="dxa"/>
            <w:tcBorders/>
          </w:tcPr>
          <w:p>
            <w:pPr>
              <w:pStyle w:val="TableContents"/>
              <w:bidi w:val="0"/>
              <w:spacing w:before="0" w:after="283"/>
              <w:jc w:val="left"/>
              <w:rPr/>
            </w:pPr>
            <w:r>
              <w:rPr/>
              <w:t>(10) </w:t>
            </w:r>
          </w:p>
        </w:tc>
        <w:tc>
          <w:tcPr>
            <w:tcW w:w="108" w:type="dxa"/>
            <w:tcBorders/>
            <w:vAlign w:val="bottom"/>
          </w:tcPr>
          <w:p>
            <w:pPr>
              <w:pStyle w:val="TableContents"/>
              <w:bidi w:val="0"/>
              <w:spacing w:before="0" w:after="283"/>
              <w:jc w:val="left"/>
              <w:rPr/>
            </w:pPr>
            <w:r>
              <w:rPr/>
              <w:t> </w:t>
            </w:r>
          </w:p>
        </w:tc>
        <w:tc>
          <w:tcPr>
            <w:tcW w:w="529" w:type="dxa"/>
            <w:tcBorders/>
          </w:tcPr>
          <w:p>
            <w:pPr>
              <w:pStyle w:val="TableContents"/>
              <w:bidi w:val="0"/>
              <w:spacing w:before="0" w:after="283"/>
              <w:jc w:val="center"/>
              <w:rPr/>
            </w:pPr>
            <w:r>
              <w:rPr/>
              <w:t>No</w:t>
            </w:r>
          </w:p>
        </w:tc>
        <w:tc>
          <w:tcPr>
            <w:tcW w:w="10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3" w:type="dxa"/>
            <w:tcBorders/>
          </w:tcPr>
          <w:p>
            <w:pPr>
              <w:pStyle w:val="TableContents"/>
              <w:bidi w:val="0"/>
              <w:spacing w:before="0" w:after="283"/>
              <w:jc w:val="right"/>
              <w:rPr/>
            </w:pPr>
            <w:r>
              <w:rPr/>
              <w:t>May-26</w:t>
            </w:r>
          </w:p>
        </w:tc>
        <w:tc>
          <w:tcPr>
            <w:tcW w:w="66" w:type="dxa"/>
            <w:tcBorders/>
          </w:tcPr>
          <w:p>
            <w:pPr>
              <w:pStyle w:val="TableContents"/>
              <w:bidi w:val="0"/>
              <w:spacing w:before="0" w:after="283"/>
              <w:jc w:val="left"/>
              <w:rPr/>
            </w:pPr>
            <w:r>
              <w:rPr/>
              <w:t> </w:t>
            </w:r>
          </w:p>
        </w:tc>
      </w:tr>
      <w:tr>
        <w:trPr/>
        <w:tc>
          <w:tcPr>
            <w:tcW w:w="2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 Ariadne</w:t>
            </w:r>
          </w:p>
        </w:tc>
        <w:tc>
          <w:tcPr>
            <w:tcW w:w="162" w:type="dxa"/>
            <w:tcBorders/>
            <w:shd w:fill="CCEEFF" w:val="clear"/>
            <w:vAlign w:val="bottom"/>
          </w:tcPr>
          <w:p>
            <w:pPr>
              <w:pStyle w:val="TableContents"/>
              <w:bidi w:val="0"/>
              <w:spacing w:before="0" w:after="283"/>
              <w:jc w:val="left"/>
              <w:rPr/>
            </w:pPr>
            <w:r>
              <w:rPr/>
              <w:t>  </w:t>
            </w:r>
          </w:p>
        </w:tc>
        <w:tc>
          <w:tcPr>
            <w:tcW w:w="2100" w:type="dxa"/>
            <w:tcBorders/>
            <w:shd w:fill="CCEEFF" w:val="clear"/>
          </w:tcPr>
          <w:p>
            <w:pPr>
              <w:pStyle w:val="TableContents"/>
              <w:bidi w:val="0"/>
              <w:spacing w:before="0" w:after="283"/>
              <w:jc w:val="center"/>
              <w:rPr/>
            </w:pPr>
            <w:r>
              <w:rPr/>
              <w:t>LR1 Product Tanker</w:t>
            </w:r>
          </w:p>
        </w:tc>
        <w:tc>
          <w:tcPr>
            <w:tcW w:w="162" w:type="dxa"/>
            <w:tcBorders/>
            <w:shd w:fill="CCEEFF" w:val="clear"/>
            <w:vAlign w:val="bottom"/>
          </w:tcPr>
          <w:p>
            <w:pPr>
              <w:pStyle w:val="TableContents"/>
              <w:bidi w:val="0"/>
              <w:spacing w:before="0" w:after="283"/>
              <w:jc w:val="left"/>
              <w:rPr/>
            </w:pPr>
            <w:r>
              <w:rPr/>
              <w:t>  </w:t>
            </w:r>
          </w:p>
        </w:tc>
        <w:tc>
          <w:tcPr>
            <w:tcW w:w="501" w:type="dxa"/>
            <w:tcBorders/>
            <w:shd w:fill="CCEEFF" w:val="clear"/>
          </w:tcPr>
          <w:p>
            <w:pPr>
              <w:pStyle w:val="TableContents"/>
              <w:bidi w:val="0"/>
              <w:spacing w:before="0" w:after="283"/>
              <w:jc w:val="center"/>
              <w:rPr/>
            </w:pPr>
            <w:r>
              <w:rPr/>
              <w:t>2007</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24" w:type="dxa"/>
            <w:tcBorders/>
            <w:shd w:fill="CCEEFF" w:val="clear"/>
          </w:tcPr>
          <w:p>
            <w:pPr>
              <w:pStyle w:val="TableContents"/>
              <w:bidi w:val="0"/>
              <w:spacing w:before="0" w:after="283"/>
              <w:jc w:val="right"/>
              <w:rPr/>
            </w:pPr>
            <w:r>
              <w:rPr/>
              <w:t>74,671</w:t>
            </w:r>
          </w:p>
        </w:tc>
        <w:tc>
          <w:tcPr>
            <w:tcW w:w="60" w:type="dxa"/>
            <w:tcBorders/>
            <w:shd w:fill="CCEEFF" w:val="clear"/>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1536" w:type="dxa"/>
            <w:tcBorders/>
            <w:shd w:fill="CCEEFF" w:val="clear"/>
          </w:tcPr>
          <w:p>
            <w:pPr>
              <w:pStyle w:val="TableContents"/>
              <w:bidi w:val="0"/>
              <w:spacing w:before="0" w:after="283"/>
              <w:jc w:val="right"/>
              <w:rPr/>
            </w:pPr>
            <w:r>
              <w:rPr/>
              <w:t>Floating Rate</w:t>
            </w:r>
          </w:p>
        </w:tc>
        <w:tc>
          <w:tcPr>
            <w:tcW w:w="473" w:type="dxa"/>
            <w:tcBorders/>
            <w:shd w:fill="CCEEFF" w:val="clear"/>
          </w:tcPr>
          <w:p>
            <w:pPr>
              <w:pStyle w:val="TableContents"/>
              <w:bidi w:val="0"/>
              <w:spacing w:before="0" w:after="283"/>
              <w:jc w:val="left"/>
              <w:rPr/>
            </w:pPr>
            <w:r>
              <w:rPr/>
              <w:t>(12) </w:t>
            </w:r>
          </w:p>
        </w:tc>
        <w:tc>
          <w:tcPr>
            <w:tcW w:w="108" w:type="dxa"/>
            <w:tcBorders/>
            <w:shd w:fill="CCEEFF" w:val="clear"/>
            <w:vAlign w:val="bottom"/>
          </w:tcPr>
          <w:p>
            <w:pPr>
              <w:pStyle w:val="TableContents"/>
              <w:bidi w:val="0"/>
              <w:spacing w:before="0" w:after="283"/>
              <w:jc w:val="left"/>
              <w:rPr/>
            </w:pPr>
            <w:r>
              <w:rPr/>
              <w:t> </w:t>
            </w:r>
          </w:p>
        </w:tc>
        <w:tc>
          <w:tcPr>
            <w:tcW w:w="529" w:type="dxa"/>
            <w:tcBorders/>
            <w:shd w:fill="CCEEFF" w:val="clear"/>
          </w:tcPr>
          <w:p>
            <w:pPr>
              <w:pStyle w:val="TableContents"/>
              <w:bidi w:val="0"/>
              <w:spacing w:before="0" w:after="283"/>
              <w:jc w:val="center"/>
              <w:rPr/>
            </w:pPr>
            <w:r>
              <w:rPr/>
              <w:t>No</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3" w:type="dxa"/>
            <w:tcBorders/>
            <w:shd w:fill="CCEEFF" w:val="clear"/>
          </w:tcPr>
          <w:p>
            <w:pPr>
              <w:pStyle w:val="TableContents"/>
              <w:bidi w:val="0"/>
              <w:spacing w:before="0" w:after="283"/>
              <w:jc w:val="right"/>
              <w:rPr/>
            </w:pPr>
            <w:r>
              <w:rPr/>
              <w:t>Dec-23</w:t>
            </w:r>
          </w:p>
        </w:tc>
        <w:tc>
          <w:tcPr>
            <w:tcW w:w="66" w:type="dxa"/>
            <w:tcBorders/>
            <w:shd w:fill="CCEEFF" w:val="clear"/>
          </w:tcPr>
          <w:p>
            <w:pPr>
              <w:pStyle w:val="TableContents"/>
              <w:bidi w:val="0"/>
              <w:spacing w:before="0" w:after="283"/>
              <w:jc w:val="left"/>
              <w:rPr/>
            </w:pPr>
            <w:r>
              <w:rPr/>
              <w:t> </w:t>
            </w:r>
          </w:p>
        </w:tc>
      </w:tr>
      <w:tr>
        <w:trPr/>
        <w:tc>
          <w:tcPr>
            <w:tcW w:w="2409" w:type="dxa"/>
            <w:tcBorders/>
          </w:tcPr>
          <w:p>
            <w:pPr>
              <w:pStyle w:val="TableContents"/>
              <w:bidi w:val="0"/>
              <w:spacing w:before="0" w:after="0"/>
              <w:jc w:val="left"/>
              <w:rPr>
                <w:rFonts w:ascii="Times New Roman" w:hAnsi="Times New Roman"/>
                <w:sz w:val="20"/>
              </w:rPr>
            </w:pPr>
            <w:r>
              <w:rPr>
                <w:rFonts w:ascii="Times New Roman" w:hAnsi="Times New Roman"/>
                <w:sz w:val="20"/>
              </w:rPr>
              <w:t>Nave Cielo</w:t>
            </w:r>
          </w:p>
        </w:tc>
        <w:tc>
          <w:tcPr>
            <w:tcW w:w="162" w:type="dxa"/>
            <w:tcBorders/>
            <w:vAlign w:val="bottom"/>
          </w:tcPr>
          <w:p>
            <w:pPr>
              <w:pStyle w:val="TableContents"/>
              <w:bidi w:val="0"/>
              <w:spacing w:before="0" w:after="283"/>
              <w:jc w:val="left"/>
              <w:rPr/>
            </w:pPr>
            <w:r>
              <w:rPr/>
              <w:t>  </w:t>
            </w:r>
          </w:p>
        </w:tc>
        <w:tc>
          <w:tcPr>
            <w:tcW w:w="2100" w:type="dxa"/>
            <w:tcBorders/>
          </w:tcPr>
          <w:p>
            <w:pPr>
              <w:pStyle w:val="TableContents"/>
              <w:bidi w:val="0"/>
              <w:spacing w:before="0" w:after="283"/>
              <w:jc w:val="center"/>
              <w:rPr/>
            </w:pPr>
            <w:r>
              <w:rPr/>
              <w:t>LR1 Product Tanker</w:t>
            </w:r>
          </w:p>
        </w:tc>
        <w:tc>
          <w:tcPr>
            <w:tcW w:w="162" w:type="dxa"/>
            <w:tcBorders/>
            <w:vAlign w:val="bottom"/>
          </w:tcPr>
          <w:p>
            <w:pPr>
              <w:pStyle w:val="TableContents"/>
              <w:bidi w:val="0"/>
              <w:spacing w:before="0" w:after="283"/>
              <w:jc w:val="left"/>
              <w:rPr/>
            </w:pPr>
            <w:r>
              <w:rPr/>
              <w:t>  </w:t>
            </w:r>
          </w:p>
        </w:tc>
        <w:tc>
          <w:tcPr>
            <w:tcW w:w="501" w:type="dxa"/>
            <w:tcBorders/>
          </w:tcPr>
          <w:p>
            <w:pPr>
              <w:pStyle w:val="TableContents"/>
              <w:bidi w:val="0"/>
              <w:spacing w:before="0" w:after="283"/>
              <w:jc w:val="center"/>
              <w:rPr/>
            </w:pPr>
            <w:r>
              <w:rPr/>
              <w:t>2007</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24" w:type="dxa"/>
            <w:tcBorders/>
          </w:tcPr>
          <w:p>
            <w:pPr>
              <w:pStyle w:val="TableContents"/>
              <w:bidi w:val="0"/>
              <w:spacing w:before="0" w:after="283"/>
              <w:jc w:val="right"/>
              <w:rPr/>
            </w:pPr>
            <w:r>
              <w:rPr/>
              <w:t>74,671</w:t>
            </w:r>
          </w:p>
        </w:tc>
        <w:tc>
          <w:tcPr>
            <w:tcW w:w="60" w:type="dxa"/>
            <w:tcBorders/>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536" w:type="dxa"/>
            <w:tcBorders/>
          </w:tcPr>
          <w:p>
            <w:pPr>
              <w:pStyle w:val="TableContents"/>
              <w:bidi w:val="0"/>
              <w:spacing w:before="0" w:after="283"/>
              <w:jc w:val="right"/>
              <w:rPr/>
            </w:pPr>
            <w:r>
              <w:rPr/>
              <w:t>16,335</w:t>
            </w:r>
          </w:p>
        </w:tc>
        <w:tc>
          <w:tcPr>
            <w:tcW w:w="473" w:type="dxa"/>
            <w:tcBorders/>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529" w:type="dxa"/>
            <w:tcBorders/>
          </w:tcPr>
          <w:p>
            <w:pPr>
              <w:pStyle w:val="TableContents"/>
              <w:bidi w:val="0"/>
              <w:spacing w:before="0" w:after="283"/>
              <w:jc w:val="center"/>
              <w:rPr/>
            </w:pPr>
            <w:r>
              <w:rPr/>
              <w:t>No</w:t>
            </w:r>
          </w:p>
        </w:tc>
        <w:tc>
          <w:tcPr>
            <w:tcW w:w="10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3" w:type="dxa"/>
            <w:tcBorders/>
          </w:tcPr>
          <w:p>
            <w:pPr>
              <w:pStyle w:val="TableContents"/>
              <w:bidi w:val="0"/>
              <w:spacing w:before="0" w:after="283"/>
              <w:jc w:val="right"/>
              <w:rPr/>
            </w:pPr>
            <w:r>
              <w:rPr/>
              <w:t>Sep-23</w:t>
            </w:r>
          </w:p>
        </w:tc>
        <w:tc>
          <w:tcPr>
            <w:tcW w:w="66" w:type="dxa"/>
            <w:tcBorders/>
          </w:tcPr>
          <w:p>
            <w:pPr>
              <w:pStyle w:val="TableContents"/>
              <w:bidi w:val="0"/>
              <w:spacing w:before="0" w:after="283"/>
              <w:jc w:val="left"/>
              <w:rPr/>
            </w:pPr>
            <w:r>
              <w:rPr/>
              <w:t> </w:t>
            </w:r>
          </w:p>
        </w:tc>
      </w:tr>
      <w:tr>
        <w:trPr/>
        <w:tc>
          <w:tcPr>
            <w:tcW w:w="2409" w:type="dxa"/>
            <w:tcBorders/>
            <w:shd w:fill="CCEEFF" w:val="clear"/>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2100" w:type="dxa"/>
            <w:tcBorders/>
            <w:shd w:fill="CCEEFF" w:val="clear"/>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501" w:type="dxa"/>
            <w:tcBorders/>
            <w:shd w:fill="CCEEFF" w:val="clear"/>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24"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1536" w:type="dxa"/>
            <w:tcBorders/>
            <w:shd w:fill="CCEEFF" w:val="clear"/>
          </w:tcPr>
          <w:p>
            <w:pPr>
              <w:pStyle w:val="TableContents"/>
              <w:bidi w:val="0"/>
              <w:spacing w:before="0" w:after="283"/>
              <w:jc w:val="right"/>
              <w:rPr/>
            </w:pPr>
            <w:r>
              <w:rPr/>
              <w:t>26,564</w:t>
            </w:r>
          </w:p>
        </w:tc>
        <w:tc>
          <w:tcPr>
            <w:tcW w:w="473" w:type="dxa"/>
            <w:tcBorders/>
            <w:shd w:fill="CCEEFF" w:val="clear"/>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529" w:type="dxa"/>
            <w:tcBorders/>
            <w:shd w:fill="CCEEFF" w:val="clear"/>
          </w:tcPr>
          <w:p>
            <w:pPr>
              <w:pStyle w:val="TableContents"/>
              <w:bidi w:val="0"/>
              <w:spacing w:before="0" w:after="283"/>
              <w:jc w:val="center"/>
              <w:rPr/>
            </w:pPr>
            <w:r>
              <w:rPr/>
              <w:t>No</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3" w:type="dxa"/>
            <w:tcBorders/>
            <w:shd w:fill="CCEEFF" w:val="clear"/>
          </w:tcPr>
          <w:p>
            <w:pPr>
              <w:pStyle w:val="TableContents"/>
              <w:bidi w:val="0"/>
              <w:spacing w:before="0" w:after="283"/>
              <w:jc w:val="right"/>
              <w:rPr/>
            </w:pPr>
            <w:r>
              <w:rPr/>
              <w:t>Nov-23</w:t>
            </w:r>
          </w:p>
        </w:tc>
        <w:tc>
          <w:tcPr>
            <w:tcW w:w="66" w:type="dxa"/>
            <w:tcBorders/>
            <w:shd w:fill="CCEEFF" w:val="clear"/>
          </w:tcPr>
          <w:p>
            <w:pPr>
              <w:pStyle w:val="TableContents"/>
              <w:bidi w:val="0"/>
              <w:spacing w:before="0" w:after="283"/>
              <w:jc w:val="left"/>
              <w:rPr/>
            </w:pPr>
            <w:r>
              <w:rPr/>
              <w:t> </w:t>
            </w:r>
          </w:p>
        </w:tc>
      </w:tr>
      <w:tr>
        <w:trPr/>
        <w:tc>
          <w:tcPr>
            <w:tcW w:w="2409" w:type="dxa"/>
            <w:tcBorders/>
          </w:tcPr>
          <w:p>
            <w:pPr>
              <w:pStyle w:val="TableContents"/>
              <w:bidi w:val="0"/>
              <w:spacing w:before="0" w:after="0"/>
              <w:jc w:val="left"/>
              <w:rPr>
                <w:rFonts w:ascii="Times New Roman" w:hAnsi="Times New Roman"/>
                <w:sz w:val="20"/>
              </w:rPr>
            </w:pPr>
            <w:r>
              <w:rPr>
                <w:rFonts w:ascii="Times New Roman" w:hAnsi="Times New Roman"/>
                <w:sz w:val="20"/>
              </w:rPr>
              <w:t>Lumen N(4)</w:t>
            </w:r>
          </w:p>
        </w:tc>
        <w:tc>
          <w:tcPr>
            <w:tcW w:w="162" w:type="dxa"/>
            <w:tcBorders/>
            <w:vAlign w:val="bottom"/>
          </w:tcPr>
          <w:p>
            <w:pPr>
              <w:pStyle w:val="TableContents"/>
              <w:bidi w:val="0"/>
              <w:spacing w:before="0" w:after="283"/>
              <w:jc w:val="left"/>
              <w:rPr/>
            </w:pPr>
            <w:r>
              <w:rPr/>
              <w:t>  </w:t>
            </w:r>
          </w:p>
        </w:tc>
        <w:tc>
          <w:tcPr>
            <w:tcW w:w="2100" w:type="dxa"/>
            <w:tcBorders/>
          </w:tcPr>
          <w:p>
            <w:pPr>
              <w:pStyle w:val="TableContents"/>
              <w:bidi w:val="0"/>
              <w:spacing w:before="0" w:after="283"/>
              <w:jc w:val="center"/>
              <w:rPr/>
            </w:pPr>
            <w:r>
              <w:rPr/>
              <w:t>LR1 Product Tanker</w:t>
            </w:r>
          </w:p>
        </w:tc>
        <w:tc>
          <w:tcPr>
            <w:tcW w:w="162" w:type="dxa"/>
            <w:tcBorders/>
            <w:vAlign w:val="bottom"/>
          </w:tcPr>
          <w:p>
            <w:pPr>
              <w:pStyle w:val="TableContents"/>
              <w:bidi w:val="0"/>
              <w:spacing w:before="0" w:after="283"/>
              <w:jc w:val="left"/>
              <w:rPr/>
            </w:pPr>
            <w:r>
              <w:rPr/>
              <w:t>  </w:t>
            </w:r>
          </w:p>
        </w:tc>
        <w:tc>
          <w:tcPr>
            <w:tcW w:w="501" w:type="dxa"/>
            <w:tcBorders/>
          </w:tcPr>
          <w:p>
            <w:pPr>
              <w:pStyle w:val="TableContents"/>
              <w:bidi w:val="0"/>
              <w:spacing w:before="0" w:after="283"/>
              <w:jc w:val="center"/>
              <w:rPr/>
            </w:pPr>
            <w:r>
              <w:rPr/>
              <w:t>2008</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24" w:type="dxa"/>
            <w:tcBorders/>
          </w:tcPr>
          <w:p>
            <w:pPr>
              <w:pStyle w:val="TableContents"/>
              <w:bidi w:val="0"/>
              <w:spacing w:before="0" w:after="283"/>
              <w:jc w:val="right"/>
              <w:rPr/>
            </w:pPr>
            <w:r>
              <w:rPr/>
              <w:t>63,599</w:t>
            </w:r>
          </w:p>
        </w:tc>
        <w:tc>
          <w:tcPr>
            <w:tcW w:w="60" w:type="dxa"/>
            <w:tcBorders/>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1536" w:type="dxa"/>
            <w:tcBorders/>
          </w:tcPr>
          <w:p>
            <w:pPr>
              <w:pStyle w:val="TableContents"/>
              <w:bidi w:val="0"/>
              <w:spacing w:before="0" w:after="283"/>
              <w:jc w:val="right"/>
              <w:rPr/>
            </w:pPr>
            <w:r>
              <w:rPr/>
              <w:t>Floating Rate</w:t>
            </w:r>
          </w:p>
        </w:tc>
        <w:tc>
          <w:tcPr>
            <w:tcW w:w="473" w:type="dxa"/>
            <w:tcBorders/>
          </w:tcPr>
          <w:p>
            <w:pPr>
              <w:pStyle w:val="TableContents"/>
              <w:bidi w:val="0"/>
              <w:spacing w:before="0" w:after="283"/>
              <w:jc w:val="left"/>
              <w:rPr/>
            </w:pPr>
            <w:r>
              <w:rPr/>
              <w:t>(12) </w:t>
            </w:r>
          </w:p>
        </w:tc>
        <w:tc>
          <w:tcPr>
            <w:tcW w:w="108" w:type="dxa"/>
            <w:tcBorders/>
            <w:vAlign w:val="bottom"/>
          </w:tcPr>
          <w:p>
            <w:pPr>
              <w:pStyle w:val="TableContents"/>
              <w:bidi w:val="0"/>
              <w:spacing w:before="0" w:after="283"/>
              <w:jc w:val="left"/>
              <w:rPr/>
            </w:pPr>
            <w:r>
              <w:rPr/>
              <w:t> </w:t>
            </w:r>
          </w:p>
        </w:tc>
        <w:tc>
          <w:tcPr>
            <w:tcW w:w="529" w:type="dxa"/>
            <w:tcBorders/>
          </w:tcPr>
          <w:p>
            <w:pPr>
              <w:pStyle w:val="TableContents"/>
              <w:bidi w:val="0"/>
              <w:spacing w:before="0" w:after="283"/>
              <w:jc w:val="center"/>
              <w:rPr/>
            </w:pPr>
            <w:r>
              <w:rPr/>
              <w:t>No</w:t>
            </w:r>
          </w:p>
        </w:tc>
        <w:tc>
          <w:tcPr>
            <w:tcW w:w="10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3" w:type="dxa"/>
            <w:tcBorders/>
          </w:tcPr>
          <w:p>
            <w:pPr>
              <w:pStyle w:val="TableContents"/>
              <w:bidi w:val="0"/>
              <w:spacing w:before="0" w:after="283"/>
              <w:jc w:val="right"/>
              <w:rPr/>
            </w:pPr>
            <w:r>
              <w:rPr/>
              <w:t>Jun-23</w:t>
            </w:r>
          </w:p>
        </w:tc>
        <w:tc>
          <w:tcPr>
            <w:tcW w:w="66" w:type="dxa"/>
            <w:tcBorders/>
          </w:tcPr>
          <w:p>
            <w:pPr>
              <w:pStyle w:val="TableContents"/>
              <w:bidi w:val="0"/>
              <w:spacing w:before="0" w:after="283"/>
              <w:jc w:val="left"/>
              <w:rPr/>
            </w:pPr>
            <w:r>
              <w:rPr/>
              <w:t> </w:t>
            </w:r>
          </w:p>
        </w:tc>
      </w:tr>
      <w:tr>
        <w:trPr/>
        <w:tc>
          <w:tcPr>
            <w:tcW w:w="2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 Andromeda</w:t>
            </w:r>
          </w:p>
        </w:tc>
        <w:tc>
          <w:tcPr>
            <w:tcW w:w="162" w:type="dxa"/>
            <w:tcBorders/>
            <w:shd w:fill="CCEEFF" w:val="clear"/>
            <w:vAlign w:val="bottom"/>
          </w:tcPr>
          <w:p>
            <w:pPr>
              <w:pStyle w:val="TableContents"/>
              <w:bidi w:val="0"/>
              <w:spacing w:before="0" w:after="283"/>
              <w:jc w:val="left"/>
              <w:rPr/>
            </w:pPr>
            <w:r>
              <w:rPr/>
              <w:t>  </w:t>
            </w:r>
          </w:p>
        </w:tc>
        <w:tc>
          <w:tcPr>
            <w:tcW w:w="2100" w:type="dxa"/>
            <w:tcBorders/>
            <w:shd w:fill="CCEEFF" w:val="clear"/>
          </w:tcPr>
          <w:p>
            <w:pPr>
              <w:pStyle w:val="TableContents"/>
              <w:bidi w:val="0"/>
              <w:spacing w:before="0" w:after="283"/>
              <w:jc w:val="center"/>
              <w:rPr/>
            </w:pPr>
            <w:r>
              <w:rPr/>
              <w:t>LR1 Product Tanker</w:t>
            </w:r>
          </w:p>
        </w:tc>
        <w:tc>
          <w:tcPr>
            <w:tcW w:w="162" w:type="dxa"/>
            <w:tcBorders/>
            <w:shd w:fill="CCEEFF" w:val="clear"/>
            <w:vAlign w:val="bottom"/>
          </w:tcPr>
          <w:p>
            <w:pPr>
              <w:pStyle w:val="TableContents"/>
              <w:bidi w:val="0"/>
              <w:spacing w:before="0" w:after="283"/>
              <w:jc w:val="left"/>
              <w:rPr/>
            </w:pPr>
            <w:r>
              <w:rPr/>
              <w:t>  </w:t>
            </w:r>
          </w:p>
        </w:tc>
        <w:tc>
          <w:tcPr>
            <w:tcW w:w="501" w:type="dxa"/>
            <w:tcBorders/>
            <w:shd w:fill="CCEEFF" w:val="clear"/>
          </w:tcPr>
          <w:p>
            <w:pPr>
              <w:pStyle w:val="TableContents"/>
              <w:bidi w:val="0"/>
              <w:spacing w:before="0" w:after="283"/>
              <w:jc w:val="center"/>
              <w:rPr/>
            </w:pPr>
            <w:r>
              <w:rPr/>
              <w:t>2011</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24" w:type="dxa"/>
            <w:tcBorders/>
            <w:shd w:fill="CCEEFF" w:val="clear"/>
          </w:tcPr>
          <w:p>
            <w:pPr>
              <w:pStyle w:val="TableContents"/>
              <w:bidi w:val="0"/>
              <w:spacing w:before="0" w:after="283"/>
              <w:jc w:val="right"/>
              <w:rPr/>
            </w:pPr>
            <w:r>
              <w:rPr/>
              <w:t>75,000</w:t>
            </w:r>
          </w:p>
        </w:tc>
        <w:tc>
          <w:tcPr>
            <w:tcW w:w="60" w:type="dxa"/>
            <w:tcBorders/>
            <w:shd w:fill="CCEEFF" w:val="clear"/>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1536" w:type="dxa"/>
            <w:tcBorders/>
            <w:shd w:fill="CCEEFF" w:val="clear"/>
          </w:tcPr>
          <w:p>
            <w:pPr>
              <w:pStyle w:val="TableContents"/>
              <w:bidi w:val="0"/>
              <w:spacing w:before="0" w:after="283"/>
              <w:jc w:val="right"/>
              <w:rPr/>
            </w:pPr>
            <w:r>
              <w:rPr/>
              <w:t>28,394</w:t>
            </w:r>
          </w:p>
        </w:tc>
        <w:tc>
          <w:tcPr>
            <w:tcW w:w="473" w:type="dxa"/>
            <w:tcBorders/>
            <w:shd w:fill="CCEEFF" w:val="clear"/>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529" w:type="dxa"/>
            <w:tcBorders/>
            <w:shd w:fill="CCEEFF" w:val="clear"/>
          </w:tcPr>
          <w:p>
            <w:pPr>
              <w:pStyle w:val="TableContents"/>
              <w:bidi w:val="0"/>
              <w:spacing w:before="0" w:after="283"/>
              <w:jc w:val="center"/>
              <w:rPr/>
            </w:pPr>
            <w:r>
              <w:rPr/>
              <w:t>No</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3" w:type="dxa"/>
            <w:tcBorders/>
            <w:shd w:fill="CCEEFF" w:val="clear"/>
          </w:tcPr>
          <w:p>
            <w:pPr>
              <w:pStyle w:val="TableContents"/>
              <w:bidi w:val="0"/>
              <w:spacing w:before="0" w:after="283"/>
              <w:jc w:val="right"/>
              <w:rPr/>
            </w:pPr>
            <w:r>
              <w:rPr/>
              <w:t>Mar-25</w:t>
            </w:r>
          </w:p>
        </w:tc>
        <w:tc>
          <w:tcPr>
            <w:tcW w:w="66" w:type="dxa"/>
            <w:tcBorders/>
            <w:shd w:fill="CCEEFF" w:val="clear"/>
          </w:tcPr>
          <w:p>
            <w:pPr>
              <w:pStyle w:val="TableContents"/>
              <w:bidi w:val="0"/>
              <w:spacing w:before="0" w:after="283"/>
              <w:jc w:val="left"/>
              <w:rPr/>
            </w:pPr>
            <w:r>
              <w:rPr/>
              <w:t> </w:t>
            </w:r>
          </w:p>
        </w:tc>
      </w:tr>
      <w:tr>
        <w:trPr/>
        <w:tc>
          <w:tcPr>
            <w:tcW w:w="2409" w:type="dxa"/>
            <w:tcBorders/>
          </w:tcPr>
          <w:p>
            <w:pPr>
              <w:pStyle w:val="TableContents"/>
              <w:bidi w:val="0"/>
              <w:spacing w:before="0" w:after="0"/>
              <w:jc w:val="left"/>
              <w:rPr>
                <w:rFonts w:ascii="Times New Roman" w:hAnsi="Times New Roman"/>
                <w:sz w:val="20"/>
              </w:rPr>
            </w:pPr>
            <w:r>
              <w:rPr>
                <w:rFonts w:ascii="Times New Roman" w:hAnsi="Times New Roman"/>
                <w:sz w:val="20"/>
              </w:rPr>
              <w:t>Nave Cetus</w:t>
            </w:r>
          </w:p>
        </w:tc>
        <w:tc>
          <w:tcPr>
            <w:tcW w:w="162" w:type="dxa"/>
            <w:tcBorders/>
            <w:vAlign w:val="bottom"/>
          </w:tcPr>
          <w:p>
            <w:pPr>
              <w:pStyle w:val="TableContents"/>
              <w:bidi w:val="0"/>
              <w:spacing w:before="0" w:after="283"/>
              <w:jc w:val="left"/>
              <w:rPr/>
            </w:pPr>
            <w:r>
              <w:rPr/>
              <w:t>  </w:t>
            </w:r>
          </w:p>
        </w:tc>
        <w:tc>
          <w:tcPr>
            <w:tcW w:w="2100" w:type="dxa"/>
            <w:tcBorders/>
          </w:tcPr>
          <w:p>
            <w:pPr>
              <w:pStyle w:val="TableContents"/>
              <w:bidi w:val="0"/>
              <w:spacing w:before="0" w:after="283"/>
              <w:jc w:val="center"/>
              <w:rPr/>
            </w:pPr>
            <w:r>
              <w:rPr/>
              <w:t>LR1 Product Tanker</w:t>
            </w:r>
          </w:p>
        </w:tc>
        <w:tc>
          <w:tcPr>
            <w:tcW w:w="162" w:type="dxa"/>
            <w:tcBorders/>
            <w:vAlign w:val="bottom"/>
          </w:tcPr>
          <w:p>
            <w:pPr>
              <w:pStyle w:val="TableContents"/>
              <w:bidi w:val="0"/>
              <w:spacing w:before="0" w:after="283"/>
              <w:jc w:val="left"/>
              <w:rPr/>
            </w:pPr>
            <w:r>
              <w:rPr/>
              <w:t>  </w:t>
            </w:r>
          </w:p>
        </w:tc>
        <w:tc>
          <w:tcPr>
            <w:tcW w:w="501" w:type="dxa"/>
            <w:tcBorders/>
          </w:tcPr>
          <w:p>
            <w:pPr>
              <w:pStyle w:val="TableContents"/>
              <w:bidi w:val="0"/>
              <w:spacing w:before="0" w:after="283"/>
              <w:jc w:val="center"/>
              <w:rPr/>
            </w:pPr>
            <w:r>
              <w:rPr/>
              <w:t>2012</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24" w:type="dxa"/>
            <w:tcBorders/>
          </w:tcPr>
          <w:p>
            <w:pPr>
              <w:pStyle w:val="TableContents"/>
              <w:bidi w:val="0"/>
              <w:spacing w:before="0" w:after="283"/>
              <w:jc w:val="right"/>
              <w:rPr/>
            </w:pPr>
            <w:r>
              <w:rPr/>
              <w:t>74,581</w:t>
            </w:r>
          </w:p>
        </w:tc>
        <w:tc>
          <w:tcPr>
            <w:tcW w:w="60" w:type="dxa"/>
            <w:tcBorders/>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536" w:type="dxa"/>
            <w:tcBorders/>
          </w:tcPr>
          <w:p>
            <w:pPr>
              <w:pStyle w:val="TableContents"/>
              <w:bidi w:val="0"/>
              <w:spacing w:before="0" w:after="283"/>
              <w:jc w:val="right"/>
              <w:rPr/>
            </w:pPr>
            <w:r>
              <w:rPr/>
              <w:t>32,094</w:t>
            </w:r>
          </w:p>
        </w:tc>
        <w:tc>
          <w:tcPr>
            <w:tcW w:w="473" w:type="dxa"/>
            <w:tcBorders/>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529" w:type="dxa"/>
            <w:tcBorders/>
          </w:tcPr>
          <w:p>
            <w:pPr>
              <w:pStyle w:val="TableContents"/>
              <w:bidi w:val="0"/>
              <w:spacing w:before="0" w:after="283"/>
              <w:jc w:val="center"/>
              <w:rPr/>
            </w:pPr>
            <w:r>
              <w:rPr/>
              <w:t>No</w:t>
            </w:r>
          </w:p>
        </w:tc>
        <w:tc>
          <w:tcPr>
            <w:tcW w:w="10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3" w:type="dxa"/>
            <w:tcBorders/>
          </w:tcPr>
          <w:p>
            <w:pPr>
              <w:pStyle w:val="TableContents"/>
              <w:bidi w:val="0"/>
              <w:spacing w:before="0" w:after="283"/>
              <w:jc w:val="right"/>
              <w:rPr/>
            </w:pPr>
            <w:r>
              <w:rPr/>
              <w:t>Jul-25</w:t>
            </w:r>
          </w:p>
        </w:tc>
        <w:tc>
          <w:tcPr>
            <w:tcW w:w="66" w:type="dxa"/>
            <w:tcBorders/>
          </w:tcPr>
          <w:p>
            <w:pPr>
              <w:pStyle w:val="TableContents"/>
              <w:bidi w:val="0"/>
              <w:spacing w:before="0" w:after="283"/>
              <w:jc w:val="left"/>
              <w:rPr/>
            </w:pPr>
            <w:r>
              <w:rPr/>
              <w:t> </w:t>
            </w:r>
          </w:p>
        </w:tc>
      </w:tr>
      <w:tr>
        <w:trPr/>
        <w:tc>
          <w:tcPr>
            <w:tcW w:w="2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 Cassiopeia</w:t>
            </w:r>
          </w:p>
        </w:tc>
        <w:tc>
          <w:tcPr>
            <w:tcW w:w="162" w:type="dxa"/>
            <w:tcBorders/>
            <w:shd w:fill="CCEEFF" w:val="clear"/>
            <w:vAlign w:val="bottom"/>
          </w:tcPr>
          <w:p>
            <w:pPr>
              <w:pStyle w:val="TableContents"/>
              <w:bidi w:val="0"/>
              <w:spacing w:before="0" w:after="283"/>
              <w:jc w:val="left"/>
              <w:rPr/>
            </w:pPr>
            <w:r>
              <w:rPr/>
              <w:t>  </w:t>
            </w:r>
          </w:p>
        </w:tc>
        <w:tc>
          <w:tcPr>
            <w:tcW w:w="2100" w:type="dxa"/>
            <w:tcBorders/>
            <w:shd w:fill="CCEEFF" w:val="clear"/>
          </w:tcPr>
          <w:p>
            <w:pPr>
              <w:pStyle w:val="TableContents"/>
              <w:bidi w:val="0"/>
              <w:spacing w:before="0" w:after="283"/>
              <w:jc w:val="center"/>
              <w:rPr/>
            </w:pPr>
            <w:r>
              <w:rPr/>
              <w:t>LR1 Product Tanker</w:t>
            </w:r>
          </w:p>
        </w:tc>
        <w:tc>
          <w:tcPr>
            <w:tcW w:w="162" w:type="dxa"/>
            <w:tcBorders/>
            <w:shd w:fill="CCEEFF" w:val="clear"/>
            <w:vAlign w:val="bottom"/>
          </w:tcPr>
          <w:p>
            <w:pPr>
              <w:pStyle w:val="TableContents"/>
              <w:bidi w:val="0"/>
              <w:spacing w:before="0" w:after="283"/>
              <w:jc w:val="left"/>
              <w:rPr/>
            </w:pPr>
            <w:r>
              <w:rPr/>
              <w:t>  </w:t>
            </w:r>
          </w:p>
        </w:tc>
        <w:tc>
          <w:tcPr>
            <w:tcW w:w="501" w:type="dxa"/>
            <w:tcBorders/>
            <w:shd w:fill="CCEEFF" w:val="clear"/>
          </w:tcPr>
          <w:p>
            <w:pPr>
              <w:pStyle w:val="TableContents"/>
              <w:bidi w:val="0"/>
              <w:spacing w:before="0" w:after="283"/>
              <w:jc w:val="center"/>
              <w:rPr/>
            </w:pPr>
            <w:r>
              <w:rPr/>
              <w:t>2012</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24" w:type="dxa"/>
            <w:tcBorders/>
            <w:shd w:fill="CCEEFF" w:val="clear"/>
          </w:tcPr>
          <w:p>
            <w:pPr>
              <w:pStyle w:val="TableContents"/>
              <w:bidi w:val="0"/>
              <w:spacing w:before="0" w:after="283"/>
              <w:jc w:val="right"/>
              <w:rPr/>
            </w:pPr>
            <w:r>
              <w:rPr/>
              <w:t>74,711</w:t>
            </w:r>
          </w:p>
        </w:tc>
        <w:tc>
          <w:tcPr>
            <w:tcW w:w="60" w:type="dxa"/>
            <w:tcBorders/>
            <w:shd w:fill="CCEEFF" w:val="clear"/>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1536" w:type="dxa"/>
            <w:tcBorders/>
            <w:shd w:fill="CCEEFF" w:val="clear"/>
          </w:tcPr>
          <w:p>
            <w:pPr>
              <w:pStyle w:val="TableContents"/>
              <w:bidi w:val="0"/>
              <w:spacing w:before="0" w:after="283"/>
              <w:jc w:val="right"/>
              <w:rPr/>
            </w:pPr>
            <w:r>
              <w:rPr/>
              <w:t>33,150</w:t>
            </w:r>
          </w:p>
        </w:tc>
        <w:tc>
          <w:tcPr>
            <w:tcW w:w="473" w:type="dxa"/>
            <w:tcBorders/>
            <w:shd w:fill="CCEEFF" w:val="clear"/>
          </w:tcPr>
          <w:p>
            <w:pPr>
              <w:pStyle w:val="TableContents"/>
              <w:bidi w:val="0"/>
              <w:spacing w:before="0" w:after="283"/>
              <w:jc w:val="left"/>
              <w:rPr/>
            </w:pPr>
            <w:r>
              <w:rPr/>
              <w:t>(13) </w:t>
            </w:r>
          </w:p>
        </w:tc>
        <w:tc>
          <w:tcPr>
            <w:tcW w:w="108" w:type="dxa"/>
            <w:tcBorders/>
            <w:shd w:fill="CCEEFF" w:val="clear"/>
            <w:vAlign w:val="bottom"/>
          </w:tcPr>
          <w:p>
            <w:pPr>
              <w:pStyle w:val="TableContents"/>
              <w:bidi w:val="0"/>
              <w:spacing w:before="0" w:after="283"/>
              <w:jc w:val="left"/>
              <w:rPr/>
            </w:pPr>
            <w:r>
              <w:rPr/>
              <w:t> </w:t>
            </w:r>
          </w:p>
        </w:tc>
        <w:tc>
          <w:tcPr>
            <w:tcW w:w="529" w:type="dxa"/>
            <w:tcBorders/>
            <w:shd w:fill="CCEEFF" w:val="clear"/>
          </w:tcPr>
          <w:p>
            <w:pPr>
              <w:pStyle w:val="TableContents"/>
              <w:bidi w:val="0"/>
              <w:spacing w:before="0" w:after="283"/>
              <w:jc w:val="center"/>
              <w:rPr/>
            </w:pPr>
            <w:r>
              <w:rPr/>
              <w:t>No</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3" w:type="dxa"/>
            <w:tcBorders/>
            <w:shd w:fill="CCEEFF" w:val="clear"/>
          </w:tcPr>
          <w:p>
            <w:pPr>
              <w:pStyle w:val="TableContents"/>
              <w:bidi w:val="0"/>
              <w:spacing w:before="0" w:after="283"/>
              <w:jc w:val="right"/>
              <w:rPr/>
            </w:pPr>
            <w:r>
              <w:rPr/>
              <w:t>Jan-25</w:t>
            </w:r>
          </w:p>
        </w:tc>
        <w:tc>
          <w:tcPr>
            <w:tcW w:w="66" w:type="dxa"/>
            <w:tcBorders/>
            <w:shd w:fill="CCEEFF" w:val="clear"/>
          </w:tcPr>
          <w:p>
            <w:pPr>
              <w:pStyle w:val="TableContents"/>
              <w:bidi w:val="0"/>
              <w:spacing w:before="0" w:after="283"/>
              <w:jc w:val="left"/>
              <w:rPr/>
            </w:pPr>
            <w:r>
              <w:rPr/>
              <w:t> </w:t>
            </w:r>
          </w:p>
        </w:tc>
      </w:tr>
      <w:tr>
        <w:trPr/>
        <w:tc>
          <w:tcPr>
            <w:tcW w:w="2409" w:type="dxa"/>
            <w:tcBorders/>
          </w:tcPr>
          <w:p>
            <w:pPr>
              <w:pStyle w:val="TableContents"/>
              <w:bidi w:val="0"/>
              <w:spacing w:before="0" w:after="0"/>
              <w:jc w:val="left"/>
              <w:rPr>
                <w:rFonts w:ascii="Times New Roman" w:hAnsi="Times New Roman"/>
                <w:sz w:val="20"/>
              </w:rPr>
            </w:pPr>
            <w:r>
              <w:rPr>
                <w:rFonts w:ascii="Times New Roman" w:hAnsi="Times New Roman"/>
                <w:sz w:val="20"/>
              </w:rPr>
              <w:t>Nave Estella</w:t>
            </w:r>
          </w:p>
        </w:tc>
        <w:tc>
          <w:tcPr>
            <w:tcW w:w="162" w:type="dxa"/>
            <w:tcBorders/>
            <w:vAlign w:val="bottom"/>
          </w:tcPr>
          <w:p>
            <w:pPr>
              <w:pStyle w:val="TableContents"/>
              <w:bidi w:val="0"/>
              <w:spacing w:before="0" w:after="283"/>
              <w:jc w:val="left"/>
              <w:rPr/>
            </w:pPr>
            <w:r>
              <w:rPr/>
              <w:t>  </w:t>
            </w:r>
          </w:p>
        </w:tc>
        <w:tc>
          <w:tcPr>
            <w:tcW w:w="2100" w:type="dxa"/>
            <w:tcBorders/>
          </w:tcPr>
          <w:p>
            <w:pPr>
              <w:pStyle w:val="TableContents"/>
              <w:bidi w:val="0"/>
              <w:spacing w:before="0" w:after="283"/>
              <w:jc w:val="center"/>
              <w:rPr/>
            </w:pPr>
            <w:r>
              <w:rPr/>
              <w:t>LR1 Product Tanker</w:t>
            </w:r>
          </w:p>
        </w:tc>
        <w:tc>
          <w:tcPr>
            <w:tcW w:w="162" w:type="dxa"/>
            <w:tcBorders/>
            <w:vAlign w:val="bottom"/>
          </w:tcPr>
          <w:p>
            <w:pPr>
              <w:pStyle w:val="TableContents"/>
              <w:bidi w:val="0"/>
              <w:spacing w:before="0" w:after="283"/>
              <w:jc w:val="left"/>
              <w:rPr/>
            </w:pPr>
            <w:r>
              <w:rPr/>
              <w:t>  </w:t>
            </w:r>
          </w:p>
        </w:tc>
        <w:tc>
          <w:tcPr>
            <w:tcW w:w="501" w:type="dxa"/>
            <w:tcBorders/>
          </w:tcPr>
          <w:p>
            <w:pPr>
              <w:pStyle w:val="TableContents"/>
              <w:bidi w:val="0"/>
              <w:spacing w:before="0" w:after="283"/>
              <w:jc w:val="center"/>
              <w:rPr/>
            </w:pPr>
            <w:r>
              <w:rPr/>
              <w:t>2012</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24" w:type="dxa"/>
            <w:tcBorders/>
          </w:tcPr>
          <w:p>
            <w:pPr>
              <w:pStyle w:val="TableContents"/>
              <w:bidi w:val="0"/>
              <w:spacing w:before="0" w:after="283"/>
              <w:jc w:val="right"/>
              <w:rPr/>
            </w:pPr>
            <w:r>
              <w:rPr/>
              <w:t>75,000</w:t>
            </w:r>
          </w:p>
        </w:tc>
        <w:tc>
          <w:tcPr>
            <w:tcW w:w="60" w:type="dxa"/>
            <w:tcBorders/>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536" w:type="dxa"/>
            <w:tcBorders/>
          </w:tcPr>
          <w:p>
            <w:pPr>
              <w:pStyle w:val="TableContents"/>
              <w:bidi w:val="0"/>
              <w:spacing w:before="0" w:after="283"/>
              <w:jc w:val="right"/>
              <w:rPr/>
            </w:pPr>
            <w:r>
              <w:rPr/>
              <w:t>28,394</w:t>
            </w:r>
          </w:p>
        </w:tc>
        <w:tc>
          <w:tcPr>
            <w:tcW w:w="473" w:type="dxa"/>
            <w:tcBorders/>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529" w:type="dxa"/>
            <w:tcBorders/>
          </w:tcPr>
          <w:p>
            <w:pPr>
              <w:pStyle w:val="TableContents"/>
              <w:bidi w:val="0"/>
              <w:spacing w:before="0" w:after="283"/>
              <w:jc w:val="center"/>
              <w:rPr/>
            </w:pPr>
            <w:r>
              <w:rPr/>
              <w:t>No</w:t>
            </w:r>
          </w:p>
        </w:tc>
        <w:tc>
          <w:tcPr>
            <w:tcW w:w="10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3" w:type="dxa"/>
            <w:tcBorders/>
          </w:tcPr>
          <w:p>
            <w:pPr>
              <w:pStyle w:val="TableContents"/>
              <w:bidi w:val="0"/>
              <w:spacing w:before="0" w:after="283"/>
              <w:jc w:val="right"/>
              <w:rPr/>
            </w:pPr>
            <w:r>
              <w:rPr/>
              <w:t>Dec-24</w:t>
            </w:r>
          </w:p>
        </w:tc>
        <w:tc>
          <w:tcPr>
            <w:tcW w:w="66" w:type="dxa"/>
            <w:tcBorders/>
          </w:tcPr>
          <w:p>
            <w:pPr>
              <w:pStyle w:val="TableContents"/>
              <w:bidi w:val="0"/>
              <w:spacing w:before="0" w:after="283"/>
              <w:jc w:val="left"/>
              <w:rPr/>
            </w:pPr>
            <w:r>
              <w:rPr/>
              <w:t> </w:t>
            </w:r>
          </w:p>
        </w:tc>
      </w:tr>
      <w:tr>
        <w:trPr/>
        <w:tc>
          <w:tcPr>
            <w:tcW w:w="2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 Rigel</w:t>
            </w:r>
          </w:p>
        </w:tc>
        <w:tc>
          <w:tcPr>
            <w:tcW w:w="162" w:type="dxa"/>
            <w:tcBorders/>
            <w:shd w:fill="CCEEFF" w:val="clear"/>
            <w:vAlign w:val="bottom"/>
          </w:tcPr>
          <w:p>
            <w:pPr>
              <w:pStyle w:val="TableContents"/>
              <w:bidi w:val="0"/>
              <w:spacing w:before="0" w:after="283"/>
              <w:jc w:val="left"/>
              <w:rPr/>
            </w:pPr>
            <w:r>
              <w:rPr/>
              <w:t>  </w:t>
            </w:r>
          </w:p>
        </w:tc>
        <w:tc>
          <w:tcPr>
            <w:tcW w:w="2100" w:type="dxa"/>
            <w:tcBorders/>
            <w:shd w:fill="CCEEFF" w:val="clear"/>
          </w:tcPr>
          <w:p>
            <w:pPr>
              <w:pStyle w:val="TableContents"/>
              <w:bidi w:val="0"/>
              <w:spacing w:before="0" w:after="283"/>
              <w:jc w:val="center"/>
              <w:rPr/>
            </w:pPr>
            <w:r>
              <w:rPr/>
              <w:t>LR1 Product Tanker</w:t>
            </w:r>
          </w:p>
        </w:tc>
        <w:tc>
          <w:tcPr>
            <w:tcW w:w="162" w:type="dxa"/>
            <w:tcBorders/>
            <w:shd w:fill="CCEEFF" w:val="clear"/>
            <w:vAlign w:val="bottom"/>
          </w:tcPr>
          <w:p>
            <w:pPr>
              <w:pStyle w:val="TableContents"/>
              <w:bidi w:val="0"/>
              <w:spacing w:before="0" w:after="283"/>
              <w:jc w:val="left"/>
              <w:rPr/>
            </w:pPr>
            <w:r>
              <w:rPr/>
              <w:t>  </w:t>
            </w:r>
          </w:p>
        </w:tc>
        <w:tc>
          <w:tcPr>
            <w:tcW w:w="501" w:type="dxa"/>
            <w:tcBorders/>
            <w:shd w:fill="CCEEFF" w:val="clear"/>
          </w:tcPr>
          <w:p>
            <w:pPr>
              <w:pStyle w:val="TableContents"/>
              <w:bidi w:val="0"/>
              <w:spacing w:before="0" w:after="283"/>
              <w:jc w:val="center"/>
              <w:rPr/>
            </w:pPr>
            <w:r>
              <w:rPr/>
              <w:t>2013</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24" w:type="dxa"/>
            <w:tcBorders/>
            <w:shd w:fill="CCEEFF" w:val="clear"/>
          </w:tcPr>
          <w:p>
            <w:pPr>
              <w:pStyle w:val="TableContents"/>
              <w:bidi w:val="0"/>
              <w:spacing w:before="0" w:after="283"/>
              <w:jc w:val="right"/>
              <w:rPr/>
            </w:pPr>
            <w:r>
              <w:rPr/>
              <w:t>74,673</w:t>
            </w:r>
          </w:p>
        </w:tc>
        <w:tc>
          <w:tcPr>
            <w:tcW w:w="60" w:type="dxa"/>
            <w:tcBorders/>
            <w:shd w:fill="CCEEFF" w:val="clear"/>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1536" w:type="dxa"/>
            <w:tcBorders/>
            <w:shd w:fill="CCEEFF" w:val="clear"/>
          </w:tcPr>
          <w:p>
            <w:pPr>
              <w:pStyle w:val="TableContents"/>
              <w:bidi w:val="0"/>
              <w:spacing w:before="0" w:after="283"/>
              <w:jc w:val="right"/>
              <w:rPr/>
            </w:pPr>
            <w:r>
              <w:rPr/>
              <w:t>Floating Rate</w:t>
            </w:r>
          </w:p>
        </w:tc>
        <w:tc>
          <w:tcPr>
            <w:tcW w:w="473" w:type="dxa"/>
            <w:tcBorders/>
            <w:shd w:fill="CCEEFF" w:val="clear"/>
          </w:tcPr>
          <w:p>
            <w:pPr>
              <w:pStyle w:val="TableContents"/>
              <w:bidi w:val="0"/>
              <w:spacing w:before="0" w:after="283"/>
              <w:jc w:val="left"/>
              <w:rPr/>
            </w:pPr>
            <w:r>
              <w:rPr/>
              <w:t>(14) </w:t>
            </w:r>
          </w:p>
        </w:tc>
        <w:tc>
          <w:tcPr>
            <w:tcW w:w="108" w:type="dxa"/>
            <w:tcBorders/>
            <w:shd w:fill="CCEEFF" w:val="clear"/>
            <w:vAlign w:val="bottom"/>
          </w:tcPr>
          <w:p>
            <w:pPr>
              <w:pStyle w:val="TableContents"/>
              <w:bidi w:val="0"/>
              <w:spacing w:before="0" w:after="283"/>
              <w:jc w:val="left"/>
              <w:rPr/>
            </w:pPr>
            <w:r>
              <w:rPr/>
              <w:t> </w:t>
            </w:r>
          </w:p>
        </w:tc>
        <w:tc>
          <w:tcPr>
            <w:tcW w:w="529" w:type="dxa"/>
            <w:tcBorders/>
            <w:shd w:fill="CCEEFF" w:val="clear"/>
          </w:tcPr>
          <w:p>
            <w:pPr>
              <w:pStyle w:val="TableContents"/>
              <w:bidi w:val="0"/>
              <w:spacing w:before="0" w:after="283"/>
              <w:jc w:val="center"/>
              <w:rPr/>
            </w:pPr>
            <w:r>
              <w:rPr/>
              <w:t>No</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3" w:type="dxa"/>
            <w:tcBorders/>
            <w:shd w:fill="CCEEFF" w:val="clear"/>
          </w:tcPr>
          <w:p>
            <w:pPr>
              <w:pStyle w:val="TableContents"/>
              <w:bidi w:val="0"/>
              <w:spacing w:before="0" w:after="283"/>
              <w:jc w:val="right"/>
              <w:rPr/>
            </w:pPr>
            <w:r>
              <w:rPr/>
              <w:t>Dec-23</w:t>
            </w:r>
          </w:p>
        </w:tc>
        <w:tc>
          <w:tcPr>
            <w:tcW w:w="66" w:type="dxa"/>
            <w:tcBorders/>
            <w:shd w:fill="CCEEFF" w:val="clear"/>
          </w:tcPr>
          <w:p>
            <w:pPr>
              <w:pStyle w:val="TableContents"/>
              <w:bidi w:val="0"/>
              <w:spacing w:before="0" w:after="283"/>
              <w:jc w:val="left"/>
              <w:rPr/>
            </w:pPr>
            <w:r>
              <w:rPr/>
              <w:t> </w:t>
            </w:r>
          </w:p>
        </w:tc>
      </w:tr>
      <w:tr>
        <w:trPr/>
        <w:tc>
          <w:tcPr>
            <w:tcW w:w="2409" w:type="dxa"/>
            <w:tcBorders/>
          </w:tcPr>
          <w:p>
            <w:pPr>
              <w:pStyle w:val="TableContents"/>
              <w:bidi w:val="0"/>
              <w:spacing w:before="0" w:after="0"/>
              <w:jc w:val="left"/>
              <w:rPr>
                <w:rFonts w:ascii="Times New Roman" w:hAnsi="Times New Roman"/>
                <w:sz w:val="20"/>
              </w:rPr>
            </w:pPr>
            <w:r>
              <w:rPr>
                <w:rFonts w:ascii="Times New Roman" w:hAnsi="Times New Roman"/>
                <w:sz w:val="20"/>
              </w:rPr>
              <w:t>Nave Atropos(24)</w:t>
            </w:r>
          </w:p>
        </w:tc>
        <w:tc>
          <w:tcPr>
            <w:tcW w:w="162" w:type="dxa"/>
            <w:tcBorders/>
            <w:vAlign w:val="bottom"/>
          </w:tcPr>
          <w:p>
            <w:pPr>
              <w:pStyle w:val="TableContents"/>
              <w:bidi w:val="0"/>
              <w:spacing w:before="0" w:after="283"/>
              <w:jc w:val="left"/>
              <w:rPr/>
            </w:pPr>
            <w:r>
              <w:rPr/>
              <w:t>  </w:t>
            </w:r>
          </w:p>
        </w:tc>
        <w:tc>
          <w:tcPr>
            <w:tcW w:w="2100" w:type="dxa"/>
            <w:tcBorders/>
          </w:tcPr>
          <w:p>
            <w:pPr>
              <w:pStyle w:val="TableContents"/>
              <w:bidi w:val="0"/>
              <w:spacing w:before="0" w:after="283"/>
              <w:jc w:val="center"/>
              <w:rPr/>
            </w:pPr>
            <w:r>
              <w:rPr/>
              <w:t>LR1 Product Tanker</w:t>
            </w:r>
          </w:p>
        </w:tc>
        <w:tc>
          <w:tcPr>
            <w:tcW w:w="162" w:type="dxa"/>
            <w:tcBorders/>
            <w:vAlign w:val="bottom"/>
          </w:tcPr>
          <w:p>
            <w:pPr>
              <w:pStyle w:val="TableContents"/>
              <w:bidi w:val="0"/>
              <w:spacing w:before="0" w:after="283"/>
              <w:jc w:val="left"/>
              <w:rPr/>
            </w:pPr>
            <w:r>
              <w:rPr/>
              <w:t>  </w:t>
            </w:r>
          </w:p>
        </w:tc>
        <w:tc>
          <w:tcPr>
            <w:tcW w:w="501" w:type="dxa"/>
            <w:tcBorders/>
          </w:tcPr>
          <w:p>
            <w:pPr>
              <w:pStyle w:val="TableContents"/>
              <w:bidi w:val="0"/>
              <w:spacing w:before="0" w:after="283"/>
              <w:jc w:val="center"/>
              <w:rPr/>
            </w:pPr>
            <w:r>
              <w:rPr/>
              <w:t>2013</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24" w:type="dxa"/>
            <w:tcBorders/>
          </w:tcPr>
          <w:p>
            <w:pPr>
              <w:pStyle w:val="TableContents"/>
              <w:bidi w:val="0"/>
              <w:spacing w:before="0" w:after="283"/>
              <w:jc w:val="right"/>
              <w:rPr/>
            </w:pPr>
            <w:r>
              <w:rPr/>
              <w:t>74,695</w:t>
            </w:r>
          </w:p>
        </w:tc>
        <w:tc>
          <w:tcPr>
            <w:tcW w:w="60" w:type="dxa"/>
            <w:tcBorders/>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536" w:type="dxa"/>
            <w:tcBorders/>
          </w:tcPr>
          <w:p>
            <w:pPr>
              <w:pStyle w:val="TableContents"/>
              <w:bidi w:val="0"/>
              <w:spacing w:before="0" w:after="283"/>
              <w:jc w:val="right"/>
              <w:rPr/>
            </w:pPr>
            <w:r>
              <w:rPr/>
              <w:t>21,971</w:t>
            </w:r>
          </w:p>
        </w:tc>
        <w:tc>
          <w:tcPr>
            <w:tcW w:w="473" w:type="dxa"/>
            <w:tcBorders/>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529" w:type="dxa"/>
            <w:tcBorders/>
          </w:tcPr>
          <w:p>
            <w:pPr>
              <w:pStyle w:val="TableContents"/>
              <w:bidi w:val="0"/>
              <w:spacing w:before="0" w:after="283"/>
              <w:jc w:val="center"/>
              <w:rPr/>
            </w:pPr>
            <w:r>
              <w:rPr/>
              <w:t>No</w:t>
            </w:r>
          </w:p>
        </w:tc>
        <w:tc>
          <w:tcPr>
            <w:tcW w:w="10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3" w:type="dxa"/>
            <w:tcBorders/>
          </w:tcPr>
          <w:p>
            <w:pPr>
              <w:pStyle w:val="TableContents"/>
              <w:bidi w:val="0"/>
              <w:spacing w:before="0" w:after="283"/>
              <w:jc w:val="right"/>
              <w:rPr/>
            </w:pPr>
            <w:r>
              <w:rPr/>
              <w:t>Oct-24</w:t>
            </w:r>
          </w:p>
        </w:tc>
        <w:tc>
          <w:tcPr>
            <w:tcW w:w="66" w:type="dxa"/>
            <w:tcBorders/>
          </w:tcPr>
          <w:p>
            <w:pPr>
              <w:pStyle w:val="TableContents"/>
              <w:bidi w:val="0"/>
              <w:spacing w:before="0" w:after="283"/>
              <w:jc w:val="left"/>
              <w:rPr/>
            </w:pPr>
            <w:r>
              <w:rPr/>
              <w:t> </w:t>
            </w:r>
          </w:p>
        </w:tc>
      </w:tr>
      <w:tr>
        <w:trPr/>
        <w:tc>
          <w:tcPr>
            <w:tcW w:w="2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 Galactic</w:t>
            </w:r>
          </w:p>
        </w:tc>
        <w:tc>
          <w:tcPr>
            <w:tcW w:w="162" w:type="dxa"/>
            <w:tcBorders/>
            <w:shd w:fill="CCEEFF" w:val="clear"/>
            <w:vAlign w:val="bottom"/>
          </w:tcPr>
          <w:p>
            <w:pPr>
              <w:pStyle w:val="TableContents"/>
              <w:bidi w:val="0"/>
              <w:spacing w:before="0" w:after="283"/>
              <w:jc w:val="left"/>
              <w:rPr/>
            </w:pPr>
            <w:r>
              <w:rPr/>
              <w:t>  </w:t>
            </w:r>
          </w:p>
        </w:tc>
        <w:tc>
          <w:tcPr>
            <w:tcW w:w="2100" w:type="dxa"/>
            <w:tcBorders/>
            <w:shd w:fill="CCEEFF" w:val="clear"/>
          </w:tcPr>
          <w:p>
            <w:pPr>
              <w:pStyle w:val="TableContents"/>
              <w:bidi w:val="0"/>
              <w:spacing w:before="0" w:after="283"/>
              <w:jc w:val="center"/>
              <w:rPr/>
            </w:pPr>
            <w:r>
              <w:rPr/>
              <w:t>VLCC</w:t>
            </w:r>
          </w:p>
        </w:tc>
        <w:tc>
          <w:tcPr>
            <w:tcW w:w="162" w:type="dxa"/>
            <w:tcBorders/>
            <w:shd w:fill="CCEEFF" w:val="clear"/>
            <w:vAlign w:val="bottom"/>
          </w:tcPr>
          <w:p>
            <w:pPr>
              <w:pStyle w:val="TableContents"/>
              <w:bidi w:val="0"/>
              <w:spacing w:before="0" w:after="283"/>
              <w:jc w:val="left"/>
              <w:rPr/>
            </w:pPr>
            <w:r>
              <w:rPr/>
              <w:t>  </w:t>
            </w:r>
          </w:p>
        </w:tc>
        <w:tc>
          <w:tcPr>
            <w:tcW w:w="501" w:type="dxa"/>
            <w:tcBorders/>
            <w:shd w:fill="CCEEFF" w:val="clear"/>
          </w:tcPr>
          <w:p>
            <w:pPr>
              <w:pStyle w:val="TableContents"/>
              <w:bidi w:val="0"/>
              <w:spacing w:before="0" w:after="283"/>
              <w:jc w:val="center"/>
              <w:rPr/>
            </w:pPr>
            <w:r>
              <w:rPr/>
              <w:t>2009</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24" w:type="dxa"/>
            <w:tcBorders/>
            <w:shd w:fill="CCEEFF" w:val="clear"/>
          </w:tcPr>
          <w:p>
            <w:pPr>
              <w:pStyle w:val="TableContents"/>
              <w:bidi w:val="0"/>
              <w:spacing w:before="0" w:after="283"/>
              <w:jc w:val="right"/>
              <w:rPr/>
            </w:pPr>
            <w:r>
              <w:rPr/>
              <w:t>297,168</w:t>
            </w:r>
          </w:p>
        </w:tc>
        <w:tc>
          <w:tcPr>
            <w:tcW w:w="60" w:type="dxa"/>
            <w:tcBorders/>
            <w:shd w:fill="CCEEFF" w:val="clear"/>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1536" w:type="dxa"/>
            <w:tcBorders/>
            <w:shd w:fill="CCEEFF" w:val="clear"/>
          </w:tcPr>
          <w:p>
            <w:pPr>
              <w:pStyle w:val="TableContents"/>
              <w:bidi w:val="0"/>
              <w:spacing w:before="0" w:after="283"/>
              <w:jc w:val="right"/>
              <w:rPr/>
            </w:pPr>
            <w:r>
              <w:rPr/>
              <w:t>45,425</w:t>
            </w:r>
          </w:p>
        </w:tc>
        <w:tc>
          <w:tcPr>
            <w:tcW w:w="473" w:type="dxa"/>
            <w:tcBorders/>
            <w:shd w:fill="CCEEFF" w:val="clear"/>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529" w:type="dxa"/>
            <w:tcBorders/>
            <w:shd w:fill="CCEEFF" w:val="clear"/>
          </w:tcPr>
          <w:p>
            <w:pPr>
              <w:pStyle w:val="TableContents"/>
              <w:bidi w:val="0"/>
              <w:spacing w:before="0" w:after="283"/>
              <w:jc w:val="center"/>
              <w:rPr/>
            </w:pPr>
            <w:r>
              <w:rPr/>
              <w:t>No</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3" w:type="dxa"/>
            <w:tcBorders/>
            <w:shd w:fill="CCEEFF" w:val="clear"/>
          </w:tcPr>
          <w:p>
            <w:pPr>
              <w:pStyle w:val="TableContents"/>
              <w:bidi w:val="0"/>
              <w:spacing w:before="0" w:after="283"/>
              <w:jc w:val="right"/>
              <w:rPr/>
            </w:pPr>
            <w:r>
              <w:rPr/>
              <w:t>Sep-23</w:t>
            </w:r>
          </w:p>
        </w:tc>
        <w:tc>
          <w:tcPr>
            <w:tcW w:w="66" w:type="dxa"/>
            <w:tcBorders/>
            <w:shd w:fill="CCEEFF" w:val="clear"/>
          </w:tcPr>
          <w:p>
            <w:pPr>
              <w:pStyle w:val="TableContents"/>
              <w:bidi w:val="0"/>
              <w:spacing w:before="0" w:after="283"/>
              <w:jc w:val="left"/>
              <w:rPr/>
            </w:pPr>
            <w:r>
              <w:rPr/>
              <w:t> </w:t>
            </w:r>
          </w:p>
        </w:tc>
      </w:tr>
      <w:tr>
        <w:trPr/>
        <w:tc>
          <w:tcPr>
            <w:tcW w:w="2409" w:type="dxa"/>
            <w:tcBorders/>
          </w:tcPr>
          <w:p>
            <w:pPr>
              <w:pStyle w:val="TableContents"/>
              <w:bidi w:val="0"/>
              <w:spacing w:before="0" w:after="0"/>
              <w:jc w:val="left"/>
              <w:rPr>
                <w:rFonts w:ascii="Times New Roman" w:hAnsi="Times New Roman"/>
                <w:sz w:val="20"/>
              </w:rPr>
            </w:pPr>
            <w:r>
              <w:rPr>
                <w:rFonts w:ascii="Times New Roman" w:hAnsi="Times New Roman"/>
                <w:sz w:val="20"/>
              </w:rPr>
              <w:t>Nave Spherical</w:t>
            </w:r>
          </w:p>
        </w:tc>
        <w:tc>
          <w:tcPr>
            <w:tcW w:w="162" w:type="dxa"/>
            <w:tcBorders/>
            <w:vAlign w:val="bottom"/>
          </w:tcPr>
          <w:p>
            <w:pPr>
              <w:pStyle w:val="TableContents"/>
              <w:bidi w:val="0"/>
              <w:spacing w:before="0" w:after="283"/>
              <w:jc w:val="left"/>
              <w:rPr/>
            </w:pPr>
            <w:r>
              <w:rPr/>
              <w:t>  </w:t>
            </w:r>
          </w:p>
        </w:tc>
        <w:tc>
          <w:tcPr>
            <w:tcW w:w="2100" w:type="dxa"/>
            <w:tcBorders/>
          </w:tcPr>
          <w:p>
            <w:pPr>
              <w:pStyle w:val="TableContents"/>
              <w:bidi w:val="0"/>
              <w:spacing w:before="0" w:after="283"/>
              <w:jc w:val="center"/>
              <w:rPr/>
            </w:pPr>
            <w:r>
              <w:rPr/>
              <w:t>VLCC</w:t>
            </w:r>
          </w:p>
        </w:tc>
        <w:tc>
          <w:tcPr>
            <w:tcW w:w="162" w:type="dxa"/>
            <w:tcBorders/>
            <w:vAlign w:val="bottom"/>
          </w:tcPr>
          <w:p>
            <w:pPr>
              <w:pStyle w:val="TableContents"/>
              <w:bidi w:val="0"/>
              <w:spacing w:before="0" w:after="283"/>
              <w:jc w:val="left"/>
              <w:rPr/>
            </w:pPr>
            <w:r>
              <w:rPr/>
              <w:t>  </w:t>
            </w:r>
          </w:p>
        </w:tc>
        <w:tc>
          <w:tcPr>
            <w:tcW w:w="501" w:type="dxa"/>
            <w:tcBorders/>
          </w:tcPr>
          <w:p>
            <w:pPr>
              <w:pStyle w:val="TableContents"/>
              <w:bidi w:val="0"/>
              <w:spacing w:before="0" w:after="283"/>
              <w:jc w:val="center"/>
              <w:rPr/>
            </w:pPr>
            <w:r>
              <w:rPr/>
              <w:t>2009</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24" w:type="dxa"/>
            <w:tcBorders/>
          </w:tcPr>
          <w:p>
            <w:pPr>
              <w:pStyle w:val="TableContents"/>
              <w:bidi w:val="0"/>
              <w:spacing w:before="0" w:after="283"/>
              <w:jc w:val="right"/>
              <w:rPr/>
            </w:pPr>
            <w:r>
              <w:rPr/>
              <w:t>297,188</w:t>
            </w:r>
          </w:p>
        </w:tc>
        <w:tc>
          <w:tcPr>
            <w:tcW w:w="60" w:type="dxa"/>
            <w:tcBorders/>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1536" w:type="dxa"/>
            <w:tcBorders/>
          </w:tcPr>
          <w:p>
            <w:pPr>
              <w:pStyle w:val="TableContents"/>
              <w:bidi w:val="0"/>
              <w:spacing w:before="0" w:after="283"/>
              <w:jc w:val="right"/>
              <w:rPr/>
            </w:pPr>
            <w:r>
              <w:rPr/>
              <w:t>Floating Rate</w:t>
            </w:r>
          </w:p>
        </w:tc>
        <w:tc>
          <w:tcPr>
            <w:tcW w:w="473" w:type="dxa"/>
            <w:tcBorders/>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529" w:type="dxa"/>
            <w:tcBorders/>
          </w:tcPr>
          <w:p>
            <w:pPr>
              <w:pStyle w:val="TableContents"/>
              <w:bidi w:val="0"/>
              <w:spacing w:before="0" w:after="283"/>
              <w:jc w:val="center"/>
              <w:rPr/>
            </w:pPr>
            <w:r>
              <w:rPr/>
              <w:t>Yes(15)</w:t>
            </w:r>
          </w:p>
        </w:tc>
        <w:tc>
          <w:tcPr>
            <w:tcW w:w="10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3" w:type="dxa"/>
            <w:tcBorders/>
          </w:tcPr>
          <w:p>
            <w:pPr>
              <w:pStyle w:val="TableContents"/>
              <w:bidi w:val="0"/>
              <w:spacing w:before="0" w:after="283"/>
              <w:jc w:val="right"/>
              <w:rPr/>
            </w:pPr>
            <w:r>
              <w:rPr/>
              <w:t>Jan-24</w:t>
            </w:r>
          </w:p>
        </w:tc>
        <w:tc>
          <w:tcPr>
            <w:tcW w:w="66" w:type="dxa"/>
            <w:tcBorders/>
          </w:tcPr>
          <w:p>
            <w:pPr>
              <w:pStyle w:val="TableContents"/>
              <w:bidi w:val="0"/>
              <w:spacing w:before="0" w:after="283"/>
              <w:jc w:val="left"/>
              <w:rPr/>
            </w:pPr>
            <w:r>
              <w:rPr/>
              <w:t> </w:t>
            </w:r>
          </w:p>
        </w:tc>
      </w:tr>
      <w:tr>
        <w:trPr/>
        <w:tc>
          <w:tcPr>
            <w:tcW w:w="2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 Constellation</w:t>
            </w:r>
          </w:p>
        </w:tc>
        <w:tc>
          <w:tcPr>
            <w:tcW w:w="162" w:type="dxa"/>
            <w:tcBorders/>
            <w:shd w:fill="CCEEFF" w:val="clear"/>
            <w:vAlign w:val="bottom"/>
          </w:tcPr>
          <w:p>
            <w:pPr>
              <w:pStyle w:val="TableContents"/>
              <w:bidi w:val="0"/>
              <w:spacing w:before="0" w:after="283"/>
              <w:jc w:val="left"/>
              <w:rPr/>
            </w:pPr>
            <w:r>
              <w:rPr/>
              <w:t>  </w:t>
            </w:r>
          </w:p>
        </w:tc>
        <w:tc>
          <w:tcPr>
            <w:tcW w:w="2100" w:type="dxa"/>
            <w:tcBorders/>
            <w:shd w:fill="CCEEFF" w:val="clear"/>
          </w:tcPr>
          <w:p>
            <w:pPr>
              <w:pStyle w:val="TableContents"/>
              <w:bidi w:val="0"/>
              <w:spacing w:before="0" w:after="283"/>
              <w:jc w:val="center"/>
              <w:rPr/>
            </w:pPr>
            <w:r>
              <w:rPr/>
              <w:t>VLCC</w:t>
            </w:r>
          </w:p>
        </w:tc>
        <w:tc>
          <w:tcPr>
            <w:tcW w:w="162" w:type="dxa"/>
            <w:tcBorders/>
            <w:shd w:fill="CCEEFF" w:val="clear"/>
            <w:vAlign w:val="bottom"/>
          </w:tcPr>
          <w:p>
            <w:pPr>
              <w:pStyle w:val="TableContents"/>
              <w:bidi w:val="0"/>
              <w:spacing w:before="0" w:after="283"/>
              <w:jc w:val="left"/>
              <w:rPr/>
            </w:pPr>
            <w:r>
              <w:rPr/>
              <w:t>  </w:t>
            </w:r>
          </w:p>
        </w:tc>
        <w:tc>
          <w:tcPr>
            <w:tcW w:w="501" w:type="dxa"/>
            <w:tcBorders/>
            <w:shd w:fill="CCEEFF" w:val="clear"/>
          </w:tcPr>
          <w:p>
            <w:pPr>
              <w:pStyle w:val="TableContents"/>
              <w:bidi w:val="0"/>
              <w:spacing w:before="0" w:after="283"/>
              <w:jc w:val="center"/>
              <w:rPr/>
            </w:pPr>
            <w:r>
              <w:rPr/>
              <w:t>2010</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24" w:type="dxa"/>
            <w:tcBorders/>
            <w:shd w:fill="CCEEFF" w:val="clear"/>
          </w:tcPr>
          <w:p>
            <w:pPr>
              <w:pStyle w:val="TableContents"/>
              <w:bidi w:val="0"/>
              <w:spacing w:before="0" w:after="283"/>
              <w:jc w:val="right"/>
              <w:rPr/>
            </w:pPr>
            <w:r>
              <w:rPr/>
              <w:t>296,988</w:t>
            </w:r>
          </w:p>
        </w:tc>
        <w:tc>
          <w:tcPr>
            <w:tcW w:w="60" w:type="dxa"/>
            <w:tcBorders/>
            <w:shd w:fill="CCEEFF" w:val="clear"/>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1536" w:type="dxa"/>
            <w:tcBorders/>
            <w:shd w:fill="CCEEFF" w:val="clear"/>
          </w:tcPr>
          <w:p>
            <w:pPr>
              <w:pStyle w:val="TableContents"/>
              <w:bidi w:val="0"/>
              <w:spacing w:before="0" w:after="283"/>
              <w:jc w:val="right"/>
              <w:rPr/>
            </w:pPr>
            <w:r>
              <w:rPr/>
              <w:t>Freight Voyage</w:t>
            </w:r>
          </w:p>
        </w:tc>
        <w:tc>
          <w:tcPr>
            <w:tcW w:w="473" w:type="dxa"/>
            <w:tcBorders/>
            <w:shd w:fill="CCEEFF" w:val="clear"/>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529" w:type="dxa"/>
            <w:tcBorders/>
            <w:shd w:fill="CCEEFF" w:val="clear"/>
          </w:tcPr>
          <w:p>
            <w:pPr>
              <w:pStyle w:val="TableContents"/>
              <w:bidi w:val="0"/>
              <w:spacing w:before="0" w:after="283"/>
              <w:jc w:val="center"/>
              <w:rPr/>
            </w:pPr>
            <w:r>
              <w:rPr/>
              <w:t>No</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3" w:type="dxa"/>
            <w:tcBorders/>
            <w:shd w:fill="CCEEFF" w:val="clear"/>
          </w:tcPr>
          <w:p>
            <w:pPr>
              <w:pStyle w:val="TableContents"/>
              <w:bidi w:val="0"/>
              <w:spacing w:before="0" w:after="283"/>
              <w:jc w:val="right"/>
              <w:rPr/>
            </w:pPr>
            <w:r>
              <w:rPr/>
              <w:t>Jun-23</w:t>
            </w:r>
          </w:p>
        </w:tc>
        <w:tc>
          <w:tcPr>
            <w:tcW w:w="66" w:type="dxa"/>
            <w:tcBorders/>
            <w:shd w:fill="CCEEFF" w:val="clear"/>
          </w:tcPr>
          <w:p>
            <w:pPr>
              <w:pStyle w:val="TableContents"/>
              <w:bidi w:val="0"/>
              <w:spacing w:before="0" w:after="283"/>
              <w:jc w:val="left"/>
              <w:rPr/>
            </w:pPr>
            <w:r>
              <w:rPr/>
              <w:t> </w:t>
            </w:r>
          </w:p>
        </w:tc>
      </w:tr>
      <w:tr>
        <w:trPr/>
        <w:tc>
          <w:tcPr>
            <w:tcW w:w="2409" w:type="dxa"/>
            <w:tcBorders/>
          </w:tcPr>
          <w:p>
            <w:pPr>
              <w:pStyle w:val="TableContents"/>
              <w:bidi w:val="0"/>
              <w:spacing w:before="0" w:after="0"/>
              <w:jc w:val="left"/>
              <w:rPr>
                <w:rFonts w:ascii="Times New Roman" w:hAnsi="Times New Roman"/>
                <w:sz w:val="20"/>
              </w:rPr>
            </w:pPr>
            <w:r>
              <w:rPr>
                <w:rFonts w:ascii="Times New Roman" w:hAnsi="Times New Roman"/>
                <w:sz w:val="20"/>
              </w:rPr>
              <w:t>Nave Quasar</w:t>
            </w:r>
          </w:p>
        </w:tc>
        <w:tc>
          <w:tcPr>
            <w:tcW w:w="162" w:type="dxa"/>
            <w:tcBorders/>
            <w:vAlign w:val="bottom"/>
          </w:tcPr>
          <w:p>
            <w:pPr>
              <w:pStyle w:val="TableContents"/>
              <w:bidi w:val="0"/>
              <w:spacing w:before="0" w:after="283"/>
              <w:jc w:val="left"/>
              <w:rPr/>
            </w:pPr>
            <w:r>
              <w:rPr/>
              <w:t>  </w:t>
            </w:r>
          </w:p>
        </w:tc>
        <w:tc>
          <w:tcPr>
            <w:tcW w:w="2100" w:type="dxa"/>
            <w:tcBorders/>
          </w:tcPr>
          <w:p>
            <w:pPr>
              <w:pStyle w:val="TableContents"/>
              <w:bidi w:val="0"/>
              <w:spacing w:before="0" w:after="283"/>
              <w:jc w:val="center"/>
              <w:rPr/>
            </w:pPr>
            <w:r>
              <w:rPr/>
              <w:t>VLCC</w:t>
            </w:r>
          </w:p>
        </w:tc>
        <w:tc>
          <w:tcPr>
            <w:tcW w:w="162" w:type="dxa"/>
            <w:tcBorders/>
            <w:vAlign w:val="bottom"/>
          </w:tcPr>
          <w:p>
            <w:pPr>
              <w:pStyle w:val="TableContents"/>
              <w:bidi w:val="0"/>
              <w:spacing w:before="0" w:after="283"/>
              <w:jc w:val="left"/>
              <w:rPr/>
            </w:pPr>
            <w:r>
              <w:rPr/>
              <w:t>  </w:t>
            </w:r>
          </w:p>
        </w:tc>
        <w:tc>
          <w:tcPr>
            <w:tcW w:w="501" w:type="dxa"/>
            <w:tcBorders/>
          </w:tcPr>
          <w:p>
            <w:pPr>
              <w:pStyle w:val="TableContents"/>
              <w:bidi w:val="0"/>
              <w:spacing w:before="0" w:after="283"/>
              <w:jc w:val="center"/>
              <w:rPr/>
            </w:pPr>
            <w:r>
              <w:rPr/>
              <w:t>2010</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24" w:type="dxa"/>
            <w:tcBorders/>
          </w:tcPr>
          <w:p>
            <w:pPr>
              <w:pStyle w:val="TableContents"/>
              <w:bidi w:val="0"/>
              <w:spacing w:before="0" w:after="283"/>
              <w:jc w:val="right"/>
              <w:rPr/>
            </w:pPr>
            <w:r>
              <w:rPr/>
              <w:t>297,376</w:t>
            </w:r>
          </w:p>
        </w:tc>
        <w:tc>
          <w:tcPr>
            <w:tcW w:w="60" w:type="dxa"/>
            <w:tcBorders/>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1536" w:type="dxa"/>
            <w:tcBorders/>
          </w:tcPr>
          <w:p>
            <w:pPr>
              <w:pStyle w:val="TableContents"/>
              <w:bidi w:val="0"/>
              <w:spacing w:before="0" w:after="283"/>
              <w:jc w:val="right"/>
              <w:rPr/>
            </w:pPr>
            <w:r>
              <w:rPr/>
              <w:t>Freight Voyage</w:t>
            </w:r>
          </w:p>
        </w:tc>
        <w:tc>
          <w:tcPr>
            <w:tcW w:w="473" w:type="dxa"/>
            <w:tcBorders/>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529" w:type="dxa"/>
            <w:tcBorders/>
          </w:tcPr>
          <w:p>
            <w:pPr>
              <w:pStyle w:val="TableContents"/>
              <w:bidi w:val="0"/>
              <w:spacing w:before="0" w:after="283"/>
              <w:jc w:val="center"/>
              <w:rPr/>
            </w:pPr>
            <w:r>
              <w:rPr/>
              <w:t>No</w:t>
            </w:r>
          </w:p>
        </w:tc>
        <w:tc>
          <w:tcPr>
            <w:tcW w:w="10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3" w:type="dxa"/>
            <w:tcBorders/>
          </w:tcPr>
          <w:p>
            <w:pPr>
              <w:pStyle w:val="TableContents"/>
              <w:bidi w:val="0"/>
              <w:spacing w:before="0" w:after="283"/>
              <w:jc w:val="right"/>
              <w:rPr/>
            </w:pPr>
            <w:r>
              <w:rPr/>
              <w:t>May-23</w:t>
            </w:r>
          </w:p>
        </w:tc>
        <w:tc>
          <w:tcPr>
            <w:tcW w:w="66" w:type="dxa"/>
            <w:tcBorders/>
          </w:tcPr>
          <w:p>
            <w:pPr>
              <w:pStyle w:val="TableContents"/>
              <w:bidi w:val="0"/>
              <w:spacing w:before="0" w:after="283"/>
              <w:jc w:val="left"/>
              <w:rPr/>
            </w:pPr>
            <w:r>
              <w:rPr/>
              <w:t> </w:t>
            </w:r>
          </w:p>
        </w:tc>
      </w:tr>
      <w:tr>
        <w:trPr/>
        <w:tc>
          <w:tcPr>
            <w:tcW w:w="2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 Synergy</w:t>
            </w:r>
          </w:p>
        </w:tc>
        <w:tc>
          <w:tcPr>
            <w:tcW w:w="162" w:type="dxa"/>
            <w:tcBorders/>
            <w:shd w:fill="CCEEFF" w:val="clear"/>
            <w:vAlign w:val="bottom"/>
          </w:tcPr>
          <w:p>
            <w:pPr>
              <w:pStyle w:val="TableContents"/>
              <w:bidi w:val="0"/>
              <w:spacing w:before="0" w:after="283"/>
              <w:jc w:val="left"/>
              <w:rPr/>
            </w:pPr>
            <w:r>
              <w:rPr/>
              <w:t>  </w:t>
            </w:r>
          </w:p>
        </w:tc>
        <w:tc>
          <w:tcPr>
            <w:tcW w:w="2100" w:type="dxa"/>
            <w:tcBorders/>
            <w:shd w:fill="CCEEFF" w:val="clear"/>
          </w:tcPr>
          <w:p>
            <w:pPr>
              <w:pStyle w:val="TableContents"/>
              <w:bidi w:val="0"/>
              <w:spacing w:before="0" w:after="283"/>
              <w:jc w:val="center"/>
              <w:rPr/>
            </w:pPr>
            <w:r>
              <w:rPr/>
              <w:t>VLCC</w:t>
            </w:r>
          </w:p>
        </w:tc>
        <w:tc>
          <w:tcPr>
            <w:tcW w:w="162" w:type="dxa"/>
            <w:tcBorders/>
            <w:shd w:fill="CCEEFF" w:val="clear"/>
            <w:vAlign w:val="bottom"/>
          </w:tcPr>
          <w:p>
            <w:pPr>
              <w:pStyle w:val="TableContents"/>
              <w:bidi w:val="0"/>
              <w:spacing w:before="0" w:after="283"/>
              <w:jc w:val="left"/>
              <w:rPr/>
            </w:pPr>
            <w:r>
              <w:rPr/>
              <w:t>  </w:t>
            </w:r>
          </w:p>
        </w:tc>
        <w:tc>
          <w:tcPr>
            <w:tcW w:w="501" w:type="dxa"/>
            <w:tcBorders/>
            <w:shd w:fill="CCEEFF" w:val="clear"/>
          </w:tcPr>
          <w:p>
            <w:pPr>
              <w:pStyle w:val="TableContents"/>
              <w:bidi w:val="0"/>
              <w:spacing w:before="0" w:after="283"/>
              <w:jc w:val="center"/>
              <w:rPr/>
            </w:pPr>
            <w:r>
              <w:rPr/>
              <w:t>2010</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24" w:type="dxa"/>
            <w:tcBorders/>
            <w:shd w:fill="CCEEFF" w:val="clear"/>
          </w:tcPr>
          <w:p>
            <w:pPr>
              <w:pStyle w:val="TableContents"/>
              <w:bidi w:val="0"/>
              <w:spacing w:before="0" w:after="283"/>
              <w:jc w:val="right"/>
              <w:rPr/>
            </w:pPr>
            <w:r>
              <w:rPr/>
              <w:t>299,973</w:t>
            </w:r>
          </w:p>
        </w:tc>
        <w:tc>
          <w:tcPr>
            <w:tcW w:w="60" w:type="dxa"/>
            <w:tcBorders/>
            <w:shd w:fill="CCEEFF" w:val="clear"/>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1536" w:type="dxa"/>
            <w:tcBorders/>
            <w:shd w:fill="CCEEFF" w:val="clear"/>
          </w:tcPr>
          <w:p>
            <w:pPr>
              <w:pStyle w:val="TableContents"/>
              <w:bidi w:val="0"/>
              <w:spacing w:before="0" w:after="283"/>
              <w:jc w:val="right"/>
              <w:rPr/>
            </w:pPr>
            <w:r>
              <w:rPr/>
              <w:t>Freight Voyage</w:t>
            </w:r>
          </w:p>
        </w:tc>
        <w:tc>
          <w:tcPr>
            <w:tcW w:w="473" w:type="dxa"/>
            <w:tcBorders/>
            <w:shd w:fill="CCEEFF" w:val="clear"/>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529" w:type="dxa"/>
            <w:tcBorders/>
            <w:shd w:fill="CCEEFF" w:val="clear"/>
          </w:tcPr>
          <w:p>
            <w:pPr>
              <w:pStyle w:val="TableContents"/>
              <w:bidi w:val="0"/>
              <w:spacing w:before="0" w:after="283"/>
              <w:jc w:val="center"/>
              <w:rPr/>
            </w:pPr>
            <w:r>
              <w:rPr/>
              <w:t>No</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3" w:type="dxa"/>
            <w:tcBorders/>
            <w:shd w:fill="CCEEFF" w:val="clear"/>
          </w:tcPr>
          <w:p>
            <w:pPr>
              <w:pStyle w:val="TableContents"/>
              <w:bidi w:val="0"/>
              <w:spacing w:before="0" w:after="283"/>
              <w:jc w:val="right"/>
              <w:rPr/>
            </w:pPr>
            <w:r>
              <w:rPr/>
              <w:t>Jun-23</w:t>
            </w:r>
          </w:p>
        </w:tc>
        <w:tc>
          <w:tcPr>
            <w:tcW w:w="66" w:type="dxa"/>
            <w:tcBorders/>
            <w:shd w:fill="CCEEFF" w:val="clear"/>
          </w:tcPr>
          <w:p>
            <w:pPr>
              <w:pStyle w:val="TableContents"/>
              <w:bidi w:val="0"/>
              <w:spacing w:before="0" w:after="283"/>
              <w:jc w:val="left"/>
              <w:rPr/>
            </w:pPr>
            <w:r>
              <w:rPr/>
              <w:t> </w:t>
            </w:r>
          </w:p>
        </w:tc>
      </w:tr>
      <w:tr>
        <w:trPr/>
        <w:tc>
          <w:tcPr>
            <w:tcW w:w="2409" w:type="dxa"/>
            <w:tcBorders/>
          </w:tcPr>
          <w:p>
            <w:pPr>
              <w:pStyle w:val="TableContents"/>
              <w:bidi w:val="0"/>
              <w:spacing w:before="0" w:after="0"/>
              <w:jc w:val="left"/>
              <w:rPr>
                <w:rFonts w:ascii="Times New Roman" w:hAnsi="Times New Roman"/>
                <w:sz w:val="20"/>
              </w:rPr>
            </w:pPr>
            <w:r>
              <w:rPr>
                <w:rFonts w:ascii="Times New Roman" w:hAnsi="Times New Roman"/>
                <w:sz w:val="20"/>
              </w:rPr>
              <w:t>Nave Universe</w:t>
            </w:r>
          </w:p>
        </w:tc>
        <w:tc>
          <w:tcPr>
            <w:tcW w:w="162" w:type="dxa"/>
            <w:tcBorders/>
            <w:vAlign w:val="bottom"/>
          </w:tcPr>
          <w:p>
            <w:pPr>
              <w:pStyle w:val="TableContents"/>
              <w:bidi w:val="0"/>
              <w:spacing w:before="0" w:after="283"/>
              <w:jc w:val="left"/>
              <w:rPr/>
            </w:pPr>
            <w:r>
              <w:rPr/>
              <w:t>  </w:t>
            </w:r>
          </w:p>
        </w:tc>
        <w:tc>
          <w:tcPr>
            <w:tcW w:w="2100" w:type="dxa"/>
            <w:tcBorders/>
          </w:tcPr>
          <w:p>
            <w:pPr>
              <w:pStyle w:val="TableContents"/>
              <w:bidi w:val="0"/>
              <w:spacing w:before="0" w:after="283"/>
              <w:jc w:val="center"/>
              <w:rPr/>
            </w:pPr>
            <w:r>
              <w:rPr/>
              <w:t>VLCC</w:t>
            </w:r>
          </w:p>
        </w:tc>
        <w:tc>
          <w:tcPr>
            <w:tcW w:w="162" w:type="dxa"/>
            <w:tcBorders/>
            <w:vAlign w:val="bottom"/>
          </w:tcPr>
          <w:p>
            <w:pPr>
              <w:pStyle w:val="TableContents"/>
              <w:bidi w:val="0"/>
              <w:spacing w:before="0" w:after="283"/>
              <w:jc w:val="left"/>
              <w:rPr/>
            </w:pPr>
            <w:r>
              <w:rPr/>
              <w:t>  </w:t>
            </w:r>
          </w:p>
        </w:tc>
        <w:tc>
          <w:tcPr>
            <w:tcW w:w="501" w:type="dxa"/>
            <w:tcBorders/>
          </w:tcPr>
          <w:p>
            <w:pPr>
              <w:pStyle w:val="TableContents"/>
              <w:bidi w:val="0"/>
              <w:spacing w:before="0" w:after="283"/>
              <w:jc w:val="center"/>
              <w:rPr/>
            </w:pPr>
            <w:r>
              <w:rPr/>
              <w:t>2011</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24" w:type="dxa"/>
            <w:tcBorders/>
          </w:tcPr>
          <w:p>
            <w:pPr>
              <w:pStyle w:val="TableContents"/>
              <w:bidi w:val="0"/>
              <w:spacing w:before="0" w:after="283"/>
              <w:jc w:val="right"/>
              <w:rPr/>
            </w:pPr>
            <w:r>
              <w:rPr/>
              <w:t>297,066</w:t>
            </w:r>
          </w:p>
        </w:tc>
        <w:tc>
          <w:tcPr>
            <w:tcW w:w="60" w:type="dxa"/>
            <w:tcBorders/>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1536" w:type="dxa"/>
            <w:tcBorders/>
          </w:tcPr>
          <w:p>
            <w:pPr>
              <w:pStyle w:val="TableContents"/>
              <w:bidi w:val="0"/>
              <w:spacing w:before="0" w:after="283"/>
              <w:jc w:val="right"/>
              <w:rPr/>
            </w:pPr>
            <w:r>
              <w:rPr/>
              <w:t>Spot</w:t>
            </w:r>
          </w:p>
        </w:tc>
        <w:tc>
          <w:tcPr>
            <w:tcW w:w="473" w:type="dxa"/>
            <w:tcBorders/>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529" w:type="dxa"/>
            <w:tcBorders/>
          </w:tcPr>
          <w:p>
            <w:pPr>
              <w:pStyle w:val="TableContents"/>
              <w:bidi w:val="0"/>
              <w:spacing w:before="0" w:after="283"/>
              <w:jc w:val="center"/>
              <w:rPr/>
            </w:pPr>
            <w:r>
              <w:rPr/>
              <w:t></w:t>
            </w:r>
          </w:p>
        </w:tc>
        <w:tc>
          <w:tcPr>
            <w:tcW w:w="10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83" w:type="dxa"/>
            <w:tcBorders/>
          </w:tcPr>
          <w:p>
            <w:pPr>
              <w:pStyle w:val="TableContents"/>
              <w:bidi w:val="0"/>
              <w:spacing w:before="0" w:after="283"/>
              <w:jc w:val="right"/>
              <w:rPr/>
            </w:pPr>
            <w:r>
              <w:rPr/>
              <w:t></w:t>
            </w:r>
          </w:p>
        </w:tc>
        <w:tc>
          <w:tcPr>
            <w:tcW w:w="66" w:type="dxa"/>
            <w:tcBorders/>
          </w:tcPr>
          <w:p>
            <w:pPr>
              <w:pStyle w:val="TableContents"/>
              <w:bidi w:val="0"/>
              <w:spacing w:before="0" w:after="283"/>
              <w:jc w:val="left"/>
              <w:rPr/>
            </w:pPr>
            <w:r>
              <w:rPr/>
              <w:t> </w:t>
            </w:r>
          </w:p>
        </w:tc>
      </w:tr>
      <w:tr>
        <w:trPr/>
        <w:tc>
          <w:tcPr>
            <w:tcW w:w="2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 Buena Suerte</w:t>
            </w:r>
          </w:p>
        </w:tc>
        <w:tc>
          <w:tcPr>
            <w:tcW w:w="162" w:type="dxa"/>
            <w:tcBorders/>
            <w:shd w:fill="CCEEFF" w:val="clear"/>
            <w:vAlign w:val="bottom"/>
          </w:tcPr>
          <w:p>
            <w:pPr>
              <w:pStyle w:val="TableContents"/>
              <w:bidi w:val="0"/>
              <w:spacing w:before="0" w:after="283"/>
              <w:jc w:val="left"/>
              <w:rPr/>
            </w:pPr>
            <w:r>
              <w:rPr/>
              <w:t>  </w:t>
            </w:r>
          </w:p>
        </w:tc>
        <w:tc>
          <w:tcPr>
            <w:tcW w:w="2100" w:type="dxa"/>
            <w:tcBorders/>
            <w:shd w:fill="CCEEFF" w:val="clear"/>
          </w:tcPr>
          <w:p>
            <w:pPr>
              <w:pStyle w:val="TableContents"/>
              <w:bidi w:val="0"/>
              <w:spacing w:before="0" w:after="283"/>
              <w:jc w:val="center"/>
              <w:rPr/>
            </w:pPr>
            <w:r>
              <w:rPr/>
              <w:t>VLCC</w:t>
            </w:r>
          </w:p>
        </w:tc>
        <w:tc>
          <w:tcPr>
            <w:tcW w:w="162" w:type="dxa"/>
            <w:tcBorders/>
            <w:shd w:fill="CCEEFF" w:val="clear"/>
            <w:vAlign w:val="bottom"/>
          </w:tcPr>
          <w:p>
            <w:pPr>
              <w:pStyle w:val="TableContents"/>
              <w:bidi w:val="0"/>
              <w:spacing w:before="0" w:after="283"/>
              <w:jc w:val="left"/>
              <w:rPr/>
            </w:pPr>
            <w:r>
              <w:rPr/>
              <w:t>  </w:t>
            </w:r>
          </w:p>
        </w:tc>
        <w:tc>
          <w:tcPr>
            <w:tcW w:w="501" w:type="dxa"/>
            <w:tcBorders/>
            <w:shd w:fill="CCEEFF" w:val="clear"/>
          </w:tcPr>
          <w:p>
            <w:pPr>
              <w:pStyle w:val="TableContents"/>
              <w:bidi w:val="0"/>
              <w:spacing w:before="0" w:after="283"/>
              <w:jc w:val="center"/>
              <w:rPr/>
            </w:pPr>
            <w:r>
              <w:rPr/>
              <w:t>2011</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24" w:type="dxa"/>
            <w:tcBorders/>
            <w:shd w:fill="CCEEFF" w:val="clear"/>
          </w:tcPr>
          <w:p>
            <w:pPr>
              <w:pStyle w:val="TableContents"/>
              <w:bidi w:val="0"/>
              <w:spacing w:before="0" w:after="283"/>
              <w:jc w:val="right"/>
              <w:rPr/>
            </w:pPr>
            <w:r>
              <w:rPr/>
              <w:t>297,491</w:t>
            </w:r>
          </w:p>
        </w:tc>
        <w:tc>
          <w:tcPr>
            <w:tcW w:w="60" w:type="dxa"/>
            <w:tcBorders/>
            <w:shd w:fill="CCEEFF" w:val="clear"/>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1536" w:type="dxa"/>
            <w:tcBorders/>
            <w:shd w:fill="CCEEFF" w:val="clear"/>
          </w:tcPr>
          <w:p>
            <w:pPr>
              <w:pStyle w:val="TableContents"/>
              <w:bidi w:val="0"/>
              <w:spacing w:before="0" w:after="283"/>
              <w:jc w:val="right"/>
              <w:rPr/>
            </w:pPr>
            <w:r>
              <w:rPr/>
              <w:t>47,906</w:t>
            </w:r>
          </w:p>
        </w:tc>
        <w:tc>
          <w:tcPr>
            <w:tcW w:w="473" w:type="dxa"/>
            <w:tcBorders/>
            <w:shd w:fill="CCEEFF" w:val="clear"/>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529" w:type="dxa"/>
            <w:tcBorders/>
            <w:shd w:fill="CCEEFF" w:val="clear"/>
          </w:tcPr>
          <w:p>
            <w:pPr>
              <w:pStyle w:val="TableContents"/>
              <w:bidi w:val="0"/>
              <w:spacing w:before="0" w:after="283"/>
              <w:jc w:val="center"/>
              <w:rPr/>
            </w:pPr>
            <w:r>
              <w:rPr/>
              <w:t>Yes(16)</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83" w:type="dxa"/>
            <w:tcBorders/>
            <w:shd w:fill="CCEEFF" w:val="clear"/>
          </w:tcPr>
          <w:p>
            <w:pPr>
              <w:pStyle w:val="TableContents"/>
              <w:bidi w:val="0"/>
              <w:spacing w:before="0" w:after="283"/>
              <w:jc w:val="right"/>
              <w:rPr/>
            </w:pPr>
            <w:r>
              <w:rPr/>
              <w:t>Jun-25</w:t>
            </w:r>
          </w:p>
        </w:tc>
        <w:tc>
          <w:tcPr>
            <w:tcW w:w="66" w:type="dxa"/>
            <w:tcBorders/>
            <w:shd w:fill="CCEEFF" w:val="clea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1919"/>
        <w:gridCol w:w="140"/>
        <w:gridCol w:w="907"/>
        <w:gridCol w:w="140"/>
        <w:gridCol w:w="526"/>
        <w:gridCol w:w="140"/>
        <w:gridCol w:w="65"/>
        <w:gridCol w:w="888"/>
        <w:gridCol w:w="60"/>
        <w:gridCol w:w="140"/>
        <w:gridCol w:w="140"/>
        <w:gridCol w:w="1231"/>
        <w:gridCol w:w="470"/>
        <w:gridCol w:w="84"/>
        <w:gridCol w:w="2077"/>
        <w:gridCol w:w="84"/>
        <w:gridCol w:w="129"/>
        <w:gridCol w:w="996"/>
        <w:gridCol w:w="69"/>
      </w:tblGrid>
      <w:tr>
        <w:trPr/>
        <w:tc>
          <w:tcPr>
            <w:tcW w:w="1919"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9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Bareboat-in vessels</w:t>
            </w:r>
          </w:p>
        </w:tc>
        <w:tc>
          <w:tcPr>
            <w:tcW w:w="140" w:type="dxa"/>
            <w:tcBorders/>
            <w:vAlign w:val="bottom"/>
          </w:tcPr>
          <w:p>
            <w:pPr>
              <w:pStyle w:val="TableContents"/>
              <w:bidi w:val="0"/>
              <w:spacing w:before="0" w:after="283"/>
              <w:jc w:val="left"/>
              <w:rPr/>
            </w:pPr>
            <w:r>
              <w:rPr/>
              <w:t>  </w:t>
            </w:r>
          </w:p>
        </w:tc>
        <w:tc>
          <w:tcPr>
            <w:tcW w:w="907" w:type="dxa"/>
            <w:tcBorders>
              <w:bottom w:val="single" w:sz="8" w:space="0" w:color="000000"/>
            </w:tcBorders>
            <w:tcMar>
              <w:bottom w:w="28" w:type="dxa"/>
            </w:tcMar>
            <w:vAlign w:val="bottom"/>
          </w:tcPr>
          <w:p>
            <w:pPr>
              <w:pStyle w:val="TableContents"/>
              <w:bidi w:val="0"/>
              <w:spacing w:before="0" w:after="283"/>
              <w:jc w:val="center"/>
              <w:rPr>
                <w:b/>
              </w:rPr>
            </w:pPr>
            <w:r>
              <w:rPr>
                <w:b/>
              </w:rPr>
              <w:t>Type</w:t>
            </w:r>
          </w:p>
        </w:tc>
        <w:tc>
          <w:tcPr>
            <w:tcW w:w="140" w:type="dxa"/>
            <w:tcBorders/>
            <w:vAlign w:val="bottom"/>
          </w:tcPr>
          <w:p>
            <w:pPr>
              <w:pStyle w:val="TableContents"/>
              <w:bidi w:val="0"/>
              <w:spacing w:before="0" w:after="283"/>
              <w:jc w:val="left"/>
              <w:rPr/>
            </w:pPr>
            <w:r>
              <w:rPr/>
              <w:t>  </w:t>
            </w:r>
          </w:p>
        </w:tc>
        <w:tc>
          <w:tcPr>
            <w:tcW w:w="526" w:type="dxa"/>
            <w:tcBorders>
              <w:bottom w:val="single" w:sz="8" w:space="0" w:color="000000"/>
            </w:tcBorders>
            <w:tcMar>
              <w:bottom w:w="28" w:type="dxa"/>
            </w:tcMar>
            <w:vAlign w:val="bottom"/>
          </w:tcPr>
          <w:p>
            <w:pPr>
              <w:pStyle w:val="TableContents"/>
              <w:bidi w:val="0"/>
              <w:spacing w:before="0" w:after="283"/>
              <w:jc w:val="center"/>
              <w:rPr>
                <w:b/>
              </w:rPr>
            </w:pPr>
            <w:r>
              <w:rPr>
                <w:b/>
              </w:rPr>
              <w:t>Built</w:t>
            </w:r>
          </w:p>
        </w:tc>
        <w:tc>
          <w:tcPr>
            <w:tcW w:w="140"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Capacity</w:t>
              <w:br/>
              <w:t>(DWT)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Charter-Out</w:t>
              <w:br/>
              <w:t>Rate(1)</w:t>
            </w:r>
          </w:p>
        </w:tc>
        <w:tc>
          <w:tcPr>
            <w:tcW w:w="47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077" w:type="dxa"/>
            <w:tcBorders>
              <w:bottom w:val="single" w:sz="8" w:space="0" w:color="000000"/>
            </w:tcBorders>
            <w:tcMar>
              <w:bottom w:w="28" w:type="dxa"/>
            </w:tcMar>
            <w:vAlign w:val="bottom"/>
          </w:tcPr>
          <w:p>
            <w:pPr>
              <w:pStyle w:val="TableContents"/>
              <w:bidi w:val="0"/>
              <w:spacing w:before="0" w:after="283"/>
              <w:jc w:val="center"/>
              <w:rPr>
                <w:b/>
              </w:rPr>
            </w:pPr>
            <w:r>
              <w:rPr>
                <w:b/>
              </w:rPr>
              <w:t>Index(2)</w:t>
            </w:r>
          </w:p>
        </w:tc>
        <w:tc>
          <w:tcPr>
            <w:tcW w:w="84"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Expiration</w:t>
              <w:br/>
              <w:t>Date(3)</w:t>
            </w:r>
          </w:p>
        </w:tc>
        <w:tc>
          <w:tcPr>
            <w:tcW w:w="69" w:type="dxa"/>
            <w:tcBorders/>
            <w:vAlign w:val="bottom"/>
          </w:tcPr>
          <w:p>
            <w:pPr>
              <w:pStyle w:val="TableContents"/>
              <w:bidi w:val="0"/>
              <w:spacing w:before="0" w:after="283"/>
              <w:jc w:val="left"/>
              <w:rPr/>
            </w:pPr>
            <w:r>
              <w:rPr/>
              <w:t> </w:t>
            </w:r>
          </w:p>
        </w:tc>
      </w:tr>
      <w:tr>
        <w:trPr/>
        <w:tc>
          <w:tcPr>
            <w:tcW w:w="1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Libra</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tcPr>
          <w:p>
            <w:pPr>
              <w:pStyle w:val="TableContents"/>
              <w:bidi w:val="0"/>
              <w:spacing w:before="0" w:after="283"/>
              <w:jc w:val="center"/>
              <w:rPr/>
            </w:pPr>
            <w:r>
              <w:rPr/>
              <w:t>Panamax</w:t>
            </w:r>
          </w:p>
        </w:tc>
        <w:tc>
          <w:tcPr>
            <w:tcW w:w="140" w:type="dxa"/>
            <w:tcBorders/>
            <w:shd w:fill="CCEEFF" w:val="clear"/>
            <w:vAlign w:val="bottom"/>
          </w:tcPr>
          <w:p>
            <w:pPr>
              <w:pStyle w:val="TableContents"/>
              <w:bidi w:val="0"/>
              <w:spacing w:before="0" w:after="283"/>
              <w:jc w:val="left"/>
              <w:rPr/>
            </w:pPr>
            <w:r>
              <w:rPr/>
              <w:t>  </w:t>
            </w:r>
          </w:p>
        </w:tc>
        <w:tc>
          <w:tcPr>
            <w:tcW w:w="526" w:type="dxa"/>
            <w:tcBorders/>
            <w:shd w:fill="CCEEFF" w:val="clear"/>
          </w:tcPr>
          <w:p>
            <w:pPr>
              <w:pStyle w:val="TableContents"/>
              <w:bidi w:val="0"/>
              <w:spacing w:before="0" w:after="283"/>
              <w:jc w:val="center"/>
              <w:rPr/>
            </w:pPr>
            <w:r>
              <w:rPr/>
              <w:t>2019</w:t>
            </w:r>
          </w:p>
        </w:tc>
        <w:tc>
          <w:tcPr>
            <w:tcW w:w="140" w:type="dxa"/>
            <w:tcBorders/>
            <w:shd w:fill="CCEEFF" w:val="clear"/>
            <w:vAlign w:val="bottom"/>
          </w:tcPr>
          <w:p>
            <w:pPr>
              <w:pStyle w:val="TableContents"/>
              <w:bidi w:val="0"/>
              <w:spacing w:before="0" w:after="283"/>
              <w:jc w:val="left"/>
              <w:rPr/>
            </w:pPr>
            <w:r>
              <w:rPr/>
              <w:t>  </w:t>
            </w:r>
          </w:p>
        </w:tc>
        <w:tc>
          <w:tcPr>
            <w:tcW w:w="65" w:type="dxa"/>
            <w:tcBorders/>
            <w:shd w:fill="CCEEFF" w:val="clear"/>
          </w:tcPr>
          <w:p>
            <w:pPr>
              <w:pStyle w:val="TableContents"/>
              <w:bidi w:val="0"/>
              <w:spacing w:before="0" w:after="283"/>
              <w:jc w:val="left"/>
              <w:rPr/>
            </w:pPr>
            <w:r>
              <w:rPr/>
              <w:t> </w:t>
            </w:r>
          </w:p>
        </w:tc>
        <w:tc>
          <w:tcPr>
            <w:tcW w:w="888" w:type="dxa"/>
            <w:tcBorders/>
            <w:shd w:fill="CCEEFF" w:val="clear"/>
          </w:tcPr>
          <w:p>
            <w:pPr>
              <w:pStyle w:val="TableContents"/>
              <w:bidi w:val="0"/>
              <w:spacing w:before="0" w:after="283"/>
              <w:jc w:val="right"/>
              <w:rPr/>
            </w:pPr>
            <w:r>
              <w:rPr/>
              <w:t>82,011</w:t>
            </w:r>
          </w:p>
        </w:tc>
        <w:tc>
          <w:tcPr>
            <w:tcW w:w="60" w:type="dxa"/>
            <w:tcBorders/>
            <w:shd w:fill="CCEEFF" w:val="clear"/>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jc w:val="left"/>
              <w:rPr/>
            </w:pPr>
            <w:r>
              <w:rPr/>
              <w:t>$</w:t>
            </w:r>
          </w:p>
          <w:p>
            <w:pPr>
              <w:pStyle w:val="TableContents"/>
              <w:bidi w:val="0"/>
              <w:spacing w:before="0" w:after="20"/>
              <w:jc w:val="left"/>
              <w:rPr/>
            </w:pPr>
            <w:r>
              <w:rPr/>
              <w:t> </w:t>
            </w:r>
          </w:p>
        </w:tc>
        <w:tc>
          <w:tcPr>
            <w:tcW w:w="1231" w:type="dxa"/>
            <w:tcBorders/>
            <w:shd w:fill="CCEEFF" w:val="clear"/>
          </w:tcPr>
          <w:p>
            <w:pPr>
              <w:pStyle w:val="TableContents"/>
              <w:bidi w:val="0"/>
              <w:jc w:val="right"/>
              <w:rPr/>
            </w:pPr>
            <w:r>
              <w:rPr/>
              <w:t>18,541</w:t>
            </w:r>
          </w:p>
          <w:p>
            <w:pPr>
              <w:pStyle w:val="TableContents"/>
              <w:bidi w:val="0"/>
              <w:spacing w:before="0" w:after="20"/>
              <w:jc w:val="right"/>
              <w:rPr>
                <w:rFonts w:ascii="Times New Roman" w:hAnsi="Times New Roman"/>
                <w:sz w:val="20"/>
              </w:rPr>
            </w:pPr>
            <w:r>
              <w:rPr>
                <w:rFonts w:ascii="Times New Roman" w:hAnsi="Times New Roman"/>
                <w:sz w:val="20"/>
              </w:rPr>
              <w:t></w:t>
            </w:r>
          </w:p>
        </w:tc>
        <w:tc>
          <w:tcPr>
            <w:tcW w:w="470" w:type="dxa"/>
            <w:tcBorders/>
            <w:shd w:fill="CCEEFF" w:val="clear"/>
          </w:tcPr>
          <w:p>
            <w:pPr>
              <w:pStyle w:val="TableContents"/>
              <w:bidi w:val="0"/>
              <w:jc w:val="left"/>
              <w:rPr/>
            </w:pPr>
            <w:r>
              <w:rPr/>
              <w:t> </w:t>
            </w:r>
          </w:p>
          <w:p>
            <w:pPr>
              <w:pStyle w:val="TableContents"/>
              <w:bidi w:val="0"/>
              <w:spacing w:before="0" w:after="20"/>
              <w:jc w:val="left"/>
              <w:rPr/>
            </w:pPr>
            <w:r>
              <w:rPr/>
              <w:t> </w:t>
            </w:r>
          </w:p>
        </w:tc>
        <w:tc>
          <w:tcPr>
            <w:tcW w:w="84" w:type="dxa"/>
            <w:tcBorders/>
            <w:shd w:fill="CCEEFF" w:val="clear"/>
            <w:vAlign w:val="bottom"/>
          </w:tcPr>
          <w:p>
            <w:pPr>
              <w:pStyle w:val="TableContents"/>
              <w:bidi w:val="0"/>
              <w:spacing w:before="0" w:after="283"/>
              <w:jc w:val="left"/>
              <w:rPr/>
            </w:pPr>
            <w:r>
              <w:rPr/>
              <w:t> </w:t>
            </w:r>
          </w:p>
        </w:tc>
        <w:tc>
          <w:tcPr>
            <w:tcW w:w="2077" w:type="dxa"/>
            <w:tcBorders/>
            <w:shd w:fill="CCEEFF" w:val="clear"/>
          </w:tcPr>
          <w:p>
            <w:pPr>
              <w:pStyle w:val="TableContents"/>
              <w:bidi w:val="0"/>
              <w:jc w:val="center"/>
              <w:rPr/>
            </w:pPr>
            <w:r>
              <w:rPr/>
              <w:t>No</w:t>
            </w:r>
          </w:p>
          <w:p>
            <w:pPr>
              <w:pStyle w:val="TableContents"/>
              <w:bidi w:val="0"/>
              <w:spacing w:before="0" w:after="20"/>
              <w:jc w:val="center"/>
              <w:rPr>
                <w:rFonts w:ascii="Times New Roman" w:hAnsi="Times New Roman"/>
                <w:sz w:val="20"/>
              </w:rPr>
            </w:pPr>
            <w:r>
              <w:rPr>
                <w:rFonts w:ascii="Times New Roman" w:hAnsi="Times New Roman"/>
                <w:sz w:val="20"/>
              </w:rPr>
              <w:t>109.75% average BPI 82</w:t>
            </w:r>
          </w:p>
        </w:tc>
        <w:tc>
          <w:tcPr>
            <w:tcW w:w="84" w:type="dxa"/>
            <w:tcBorders/>
            <w:shd w:fill="CCEEFF" w:val="clear"/>
            <w:vAlign w:val="bottom"/>
          </w:tcPr>
          <w:p>
            <w:pPr>
              <w:pStyle w:val="TableContents"/>
              <w:bidi w:val="0"/>
              <w:spacing w:before="0" w:after="283"/>
              <w:jc w:val="left"/>
              <w:rPr/>
            </w:pPr>
            <w:r>
              <w:rPr/>
              <w:t> </w:t>
            </w:r>
          </w:p>
        </w:tc>
        <w:tc>
          <w:tcPr>
            <w:tcW w:w="129" w:type="dxa"/>
            <w:tcBorders/>
            <w:shd w:fill="CCEEFF" w:val="clear"/>
          </w:tcPr>
          <w:p>
            <w:pPr>
              <w:pStyle w:val="TableContents"/>
              <w:bidi w:val="0"/>
              <w:spacing w:before="0" w:after="283"/>
              <w:jc w:val="left"/>
              <w:rPr/>
            </w:pPr>
            <w:r>
              <w:rPr/>
              <w:t> </w:t>
            </w:r>
          </w:p>
        </w:tc>
        <w:tc>
          <w:tcPr>
            <w:tcW w:w="996" w:type="dxa"/>
            <w:tcBorders/>
            <w:shd w:fill="CCEEFF" w:val="clear"/>
          </w:tcPr>
          <w:p>
            <w:pPr>
              <w:pStyle w:val="TableContents"/>
              <w:bidi w:val="0"/>
              <w:jc w:val="right"/>
              <w:rPr/>
            </w:pPr>
            <w:r>
              <w:rPr/>
              <w:t>Jun-23</w:t>
            </w:r>
          </w:p>
          <w:p>
            <w:pPr>
              <w:pStyle w:val="TableContents"/>
              <w:bidi w:val="0"/>
              <w:spacing w:before="0" w:after="20"/>
              <w:jc w:val="right"/>
              <w:rPr>
                <w:rFonts w:ascii="Times New Roman" w:hAnsi="Times New Roman"/>
                <w:sz w:val="20"/>
              </w:rPr>
            </w:pPr>
            <w:r>
              <w:rPr>
                <w:rFonts w:ascii="Times New Roman" w:hAnsi="Times New Roman"/>
                <w:sz w:val="20"/>
              </w:rPr>
              <w:t>Jun-24</w:t>
            </w:r>
          </w:p>
        </w:tc>
        <w:tc>
          <w:tcPr>
            <w:tcW w:w="69" w:type="dxa"/>
            <w:tcBorders/>
            <w:shd w:fill="CCEEFF" w:val="clear"/>
          </w:tcPr>
          <w:p>
            <w:pPr>
              <w:pStyle w:val="TableContents"/>
              <w:bidi w:val="0"/>
              <w:jc w:val="left"/>
              <w:rPr/>
            </w:pPr>
            <w:r>
              <w:rPr/>
              <w:t> </w:t>
            </w:r>
          </w:p>
          <w:p>
            <w:pPr>
              <w:pStyle w:val="TableContents"/>
              <w:bidi w:val="0"/>
              <w:spacing w:before="0" w:after="20"/>
              <w:jc w:val="left"/>
              <w:rPr/>
            </w:pPr>
            <w:r>
              <w:rPr/>
              <w:t> </w:t>
            </w:r>
          </w:p>
        </w:tc>
      </w:tr>
      <w:tr>
        <w:trPr/>
        <w:tc>
          <w:tcPr>
            <w:tcW w:w="1919" w:type="dxa"/>
            <w:tcBorders/>
          </w:tcPr>
          <w:p>
            <w:pPr>
              <w:pStyle w:val="TableContents"/>
              <w:bidi w:val="0"/>
              <w:spacing w:before="0" w:after="0"/>
              <w:jc w:val="left"/>
              <w:rPr>
                <w:rFonts w:ascii="Times New Roman" w:hAnsi="Times New Roman"/>
                <w:sz w:val="20"/>
              </w:rPr>
            </w:pPr>
            <w:r>
              <w:rPr>
                <w:rFonts w:ascii="Times New Roman" w:hAnsi="Times New Roman"/>
                <w:sz w:val="20"/>
              </w:rPr>
              <w:t>Navios Star</w:t>
            </w:r>
          </w:p>
        </w:tc>
        <w:tc>
          <w:tcPr>
            <w:tcW w:w="140"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center"/>
              <w:rPr/>
            </w:pPr>
            <w:r>
              <w:rPr/>
              <w:t>Panamax</w:t>
            </w:r>
          </w:p>
        </w:tc>
        <w:tc>
          <w:tcPr>
            <w:tcW w:w="140" w:type="dxa"/>
            <w:tcBorders/>
            <w:vAlign w:val="bottom"/>
          </w:tcPr>
          <w:p>
            <w:pPr>
              <w:pStyle w:val="TableContents"/>
              <w:bidi w:val="0"/>
              <w:spacing w:before="0" w:after="283"/>
              <w:jc w:val="left"/>
              <w:rPr/>
            </w:pPr>
            <w:r>
              <w:rPr/>
              <w:t>  </w:t>
            </w:r>
          </w:p>
        </w:tc>
        <w:tc>
          <w:tcPr>
            <w:tcW w:w="526" w:type="dxa"/>
            <w:tcBorders/>
          </w:tcPr>
          <w:p>
            <w:pPr>
              <w:pStyle w:val="TableContents"/>
              <w:bidi w:val="0"/>
              <w:spacing w:before="0" w:after="283"/>
              <w:jc w:val="center"/>
              <w:rPr/>
            </w:pPr>
            <w:r>
              <w:rPr/>
              <w:t>2021</w:t>
            </w:r>
          </w:p>
        </w:tc>
        <w:tc>
          <w:tcPr>
            <w:tcW w:w="140" w:type="dxa"/>
            <w:tcBorders/>
            <w:vAlign w:val="bottom"/>
          </w:tcPr>
          <w:p>
            <w:pPr>
              <w:pStyle w:val="TableContents"/>
              <w:bidi w:val="0"/>
              <w:spacing w:before="0" w:after="283"/>
              <w:jc w:val="left"/>
              <w:rPr/>
            </w:pPr>
            <w:r>
              <w:rPr/>
              <w:t>  </w:t>
            </w:r>
          </w:p>
        </w:tc>
        <w:tc>
          <w:tcPr>
            <w:tcW w:w="65" w:type="dxa"/>
            <w:tcBorders/>
          </w:tcPr>
          <w:p>
            <w:pPr>
              <w:pStyle w:val="TableContents"/>
              <w:bidi w:val="0"/>
              <w:spacing w:before="0" w:after="283"/>
              <w:jc w:val="left"/>
              <w:rPr/>
            </w:pPr>
            <w:r>
              <w:rPr/>
              <w:t> </w:t>
            </w:r>
          </w:p>
        </w:tc>
        <w:tc>
          <w:tcPr>
            <w:tcW w:w="888" w:type="dxa"/>
            <w:tcBorders/>
          </w:tcPr>
          <w:p>
            <w:pPr>
              <w:pStyle w:val="TableContents"/>
              <w:bidi w:val="0"/>
              <w:spacing w:before="0" w:after="283"/>
              <w:jc w:val="right"/>
              <w:rPr/>
            </w:pPr>
            <w:r>
              <w:rPr/>
              <w:t>81,994</w:t>
            </w:r>
          </w:p>
        </w:tc>
        <w:tc>
          <w:tcPr>
            <w:tcW w:w="60" w:type="dxa"/>
            <w:tcBorders/>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tcPr>
          <w:p>
            <w:pPr>
              <w:pStyle w:val="TableContents"/>
              <w:bidi w:val="0"/>
              <w:jc w:val="left"/>
              <w:rPr/>
            </w:pPr>
            <w:r>
              <w:rPr/>
              <w:t>$</w:t>
            </w:r>
          </w:p>
          <w:p>
            <w:pPr>
              <w:pStyle w:val="TableContents"/>
              <w:bidi w:val="0"/>
              <w:spacing w:before="0" w:after="20"/>
              <w:jc w:val="left"/>
              <w:rPr/>
            </w:pPr>
            <w:r>
              <w:rPr/>
              <w:t> </w:t>
            </w:r>
          </w:p>
        </w:tc>
        <w:tc>
          <w:tcPr>
            <w:tcW w:w="1231" w:type="dxa"/>
            <w:tcBorders/>
          </w:tcPr>
          <w:p>
            <w:pPr>
              <w:pStyle w:val="TableContents"/>
              <w:bidi w:val="0"/>
              <w:jc w:val="right"/>
              <w:rPr/>
            </w:pPr>
            <w:r>
              <w:rPr/>
              <w:t>19,413</w:t>
            </w:r>
          </w:p>
          <w:p>
            <w:pPr>
              <w:pStyle w:val="TableContents"/>
              <w:bidi w:val="0"/>
              <w:spacing w:before="0" w:after="20"/>
              <w:jc w:val="right"/>
              <w:rPr>
                <w:rFonts w:ascii="Times New Roman" w:hAnsi="Times New Roman"/>
                <w:sz w:val="20"/>
              </w:rPr>
            </w:pPr>
            <w:r>
              <w:rPr>
                <w:rFonts w:ascii="Times New Roman" w:hAnsi="Times New Roman"/>
                <w:sz w:val="20"/>
              </w:rPr>
              <w:t></w:t>
            </w:r>
          </w:p>
        </w:tc>
        <w:tc>
          <w:tcPr>
            <w:tcW w:w="470" w:type="dxa"/>
            <w:tcBorders/>
          </w:tcPr>
          <w:p>
            <w:pPr>
              <w:pStyle w:val="TableContents"/>
              <w:bidi w:val="0"/>
              <w:jc w:val="left"/>
              <w:rPr/>
            </w:pPr>
            <w:r>
              <w:rPr/>
              <w:t> </w:t>
            </w:r>
          </w:p>
          <w:p>
            <w:pPr>
              <w:pStyle w:val="TableContents"/>
              <w:bidi w:val="0"/>
              <w:spacing w:before="0" w:after="20"/>
              <w:jc w:val="left"/>
              <w:rPr/>
            </w:pPr>
            <w:r>
              <w:rPr/>
              <w:t> </w:t>
            </w:r>
          </w:p>
        </w:tc>
        <w:tc>
          <w:tcPr>
            <w:tcW w:w="84" w:type="dxa"/>
            <w:tcBorders/>
            <w:vAlign w:val="bottom"/>
          </w:tcPr>
          <w:p>
            <w:pPr>
              <w:pStyle w:val="TableContents"/>
              <w:bidi w:val="0"/>
              <w:spacing w:before="0" w:after="283"/>
              <w:jc w:val="left"/>
              <w:rPr/>
            </w:pPr>
            <w:r>
              <w:rPr/>
              <w:t> </w:t>
            </w:r>
          </w:p>
        </w:tc>
        <w:tc>
          <w:tcPr>
            <w:tcW w:w="2077" w:type="dxa"/>
            <w:tcBorders/>
          </w:tcPr>
          <w:p>
            <w:pPr>
              <w:pStyle w:val="TableContents"/>
              <w:bidi w:val="0"/>
              <w:jc w:val="center"/>
              <w:rPr/>
            </w:pPr>
            <w:r>
              <w:rPr/>
              <w:t>No</w:t>
            </w:r>
          </w:p>
          <w:p>
            <w:pPr>
              <w:pStyle w:val="TableContents"/>
              <w:bidi w:val="0"/>
              <w:spacing w:before="0" w:after="20"/>
              <w:jc w:val="center"/>
              <w:rPr>
                <w:rFonts w:ascii="Times New Roman" w:hAnsi="Times New Roman"/>
                <w:sz w:val="20"/>
              </w:rPr>
            </w:pPr>
            <w:r>
              <w:rPr>
                <w:rFonts w:ascii="Times New Roman" w:hAnsi="Times New Roman"/>
                <w:sz w:val="20"/>
              </w:rPr>
              <w:t>110.0% average BPI 82</w:t>
            </w:r>
          </w:p>
        </w:tc>
        <w:tc>
          <w:tcPr>
            <w:tcW w:w="84" w:type="dxa"/>
            <w:tcBorders/>
            <w:vAlign w:val="bottom"/>
          </w:tcPr>
          <w:p>
            <w:pPr>
              <w:pStyle w:val="TableContents"/>
              <w:bidi w:val="0"/>
              <w:spacing w:before="0" w:after="283"/>
              <w:jc w:val="left"/>
              <w:rPr/>
            </w:pPr>
            <w:r>
              <w:rPr/>
              <w:t> </w:t>
            </w:r>
          </w:p>
        </w:tc>
        <w:tc>
          <w:tcPr>
            <w:tcW w:w="129" w:type="dxa"/>
            <w:tcBorders/>
          </w:tcPr>
          <w:p>
            <w:pPr>
              <w:pStyle w:val="TableContents"/>
              <w:bidi w:val="0"/>
              <w:spacing w:before="0" w:after="283"/>
              <w:jc w:val="left"/>
              <w:rPr/>
            </w:pPr>
            <w:r>
              <w:rPr/>
              <w:t> </w:t>
            </w:r>
          </w:p>
        </w:tc>
        <w:tc>
          <w:tcPr>
            <w:tcW w:w="996" w:type="dxa"/>
            <w:tcBorders/>
          </w:tcPr>
          <w:p>
            <w:pPr>
              <w:pStyle w:val="TableContents"/>
              <w:bidi w:val="0"/>
              <w:jc w:val="right"/>
              <w:rPr/>
            </w:pPr>
            <w:r>
              <w:rPr/>
              <w:t>Jun-23</w:t>
            </w:r>
          </w:p>
          <w:p>
            <w:pPr>
              <w:pStyle w:val="TableContents"/>
              <w:bidi w:val="0"/>
              <w:spacing w:before="0" w:after="20"/>
              <w:jc w:val="right"/>
              <w:rPr>
                <w:rFonts w:ascii="Times New Roman" w:hAnsi="Times New Roman"/>
                <w:sz w:val="20"/>
              </w:rPr>
            </w:pPr>
            <w:r>
              <w:rPr>
                <w:rFonts w:ascii="Times New Roman" w:hAnsi="Times New Roman"/>
                <w:sz w:val="20"/>
              </w:rPr>
              <w:t>Apr-24</w:t>
            </w:r>
          </w:p>
        </w:tc>
        <w:tc>
          <w:tcPr>
            <w:tcW w:w="69" w:type="dxa"/>
            <w:tcBorders/>
          </w:tcPr>
          <w:p>
            <w:pPr>
              <w:pStyle w:val="TableContents"/>
              <w:bidi w:val="0"/>
              <w:jc w:val="left"/>
              <w:rPr/>
            </w:pPr>
            <w:r>
              <w:rPr/>
              <w:t> </w:t>
            </w:r>
          </w:p>
          <w:p>
            <w:pPr>
              <w:pStyle w:val="TableContents"/>
              <w:bidi w:val="0"/>
              <w:spacing w:before="0" w:after="20"/>
              <w:jc w:val="left"/>
              <w:rPr/>
            </w:pPr>
            <w:r>
              <w:rPr/>
              <w:t> </w:t>
            </w:r>
          </w:p>
        </w:tc>
      </w:tr>
      <w:tr>
        <w:trPr/>
        <w:tc>
          <w:tcPr>
            <w:tcW w:w="1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Amitie</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tcPr>
          <w:p>
            <w:pPr>
              <w:pStyle w:val="TableContents"/>
              <w:bidi w:val="0"/>
              <w:spacing w:before="0" w:after="283"/>
              <w:jc w:val="center"/>
              <w:rPr/>
            </w:pPr>
            <w:r>
              <w:rPr/>
              <w:t>Panamax</w:t>
            </w:r>
          </w:p>
        </w:tc>
        <w:tc>
          <w:tcPr>
            <w:tcW w:w="140" w:type="dxa"/>
            <w:tcBorders/>
            <w:shd w:fill="CCEEFF" w:val="clear"/>
            <w:vAlign w:val="bottom"/>
          </w:tcPr>
          <w:p>
            <w:pPr>
              <w:pStyle w:val="TableContents"/>
              <w:bidi w:val="0"/>
              <w:spacing w:before="0" w:after="283"/>
              <w:jc w:val="left"/>
              <w:rPr/>
            </w:pPr>
            <w:r>
              <w:rPr/>
              <w:t>  </w:t>
            </w:r>
          </w:p>
        </w:tc>
        <w:tc>
          <w:tcPr>
            <w:tcW w:w="526" w:type="dxa"/>
            <w:tcBorders/>
            <w:shd w:fill="CCEEFF" w:val="clear"/>
          </w:tcPr>
          <w:p>
            <w:pPr>
              <w:pStyle w:val="TableContents"/>
              <w:bidi w:val="0"/>
              <w:spacing w:before="0" w:after="283"/>
              <w:jc w:val="center"/>
              <w:rPr/>
            </w:pPr>
            <w:r>
              <w:rPr/>
              <w:t>2021</w:t>
            </w:r>
          </w:p>
        </w:tc>
        <w:tc>
          <w:tcPr>
            <w:tcW w:w="140" w:type="dxa"/>
            <w:tcBorders/>
            <w:shd w:fill="CCEEFF" w:val="clear"/>
            <w:vAlign w:val="bottom"/>
          </w:tcPr>
          <w:p>
            <w:pPr>
              <w:pStyle w:val="TableContents"/>
              <w:bidi w:val="0"/>
              <w:spacing w:before="0" w:after="283"/>
              <w:jc w:val="left"/>
              <w:rPr/>
            </w:pPr>
            <w:r>
              <w:rPr/>
              <w:t>  </w:t>
            </w:r>
          </w:p>
        </w:tc>
        <w:tc>
          <w:tcPr>
            <w:tcW w:w="65" w:type="dxa"/>
            <w:tcBorders/>
            <w:shd w:fill="CCEEFF" w:val="clear"/>
          </w:tcPr>
          <w:p>
            <w:pPr>
              <w:pStyle w:val="TableContents"/>
              <w:bidi w:val="0"/>
              <w:spacing w:before="0" w:after="283"/>
              <w:jc w:val="left"/>
              <w:rPr/>
            </w:pPr>
            <w:r>
              <w:rPr/>
              <w:t> </w:t>
            </w:r>
          </w:p>
        </w:tc>
        <w:tc>
          <w:tcPr>
            <w:tcW w:w="888" w:type="dxa"/>
            <w:tcBorders/>
            <w:shd w:fill="CCEEFF" w:val="clear"/>
          </w:tcPr>
          <w:p>
            <w:pPr>
              <w:pStyle w:val="TableContents"/>
              <w:bidi w:val="0"/>
              <w:spacing w:before="0" w:after="283"/>
              <w:jc w:val="right"/>
              <w:rPr/>
            </w:pPr>
            <w:r>
              <w:rPr/>
              <w:t>82,002</w:t>
            </w:r>
          </w:p>
        </w:tc>
        <w:tc>
          <w:tcPr>
            <w:tcW w:w="60" w:type="dxa"/>
            <w:tcBorders/>
            <w:shd w:fill="CCEEFF" w:val="clear"/>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jc w:val="left"/>
              <w:rPr/>
            </w:pPr>
            <w:r>
              <w:rPr/>
              <w:t>$</w:t>
            </w:r>
          </w:p>
          <w:p>
            <w:pPr>
              <w:pStyle w:val="TableContents"/>
              <w:bidi w:val="0"/>
              <w:spacing w:before="0" w:after="20"/>
              <w:jc w:val="left"/>
              <w:rPr/>
            </w:pPr>
            <w:r>
              <w:rPr/>
              <w:t> </w:t>
            </w:r>
          </w:p>
        </w:tc>
        <w:tc>
          <w:tcPr>
            <w:tcW w:w="1231" w:type="dxa"/>
            <w:tcBorders/>
            <w:shd w:fill="CCEEFF" w:val="clear"/>
          </w:tcPr>
          <w:p>
            <w:pPr>
              <w:pStyle w:val="TableContents"/>
              <w:bidi w:val="0"/>
              <w:jc w:val="right"/>
              <w:rPr/>
            </w:pPr>
            <w:r>
              <w:rPr/>
              <w:t>19,731</w:t>
            </w:r>
          </w:p>
          <w:p>
            <w:pPr>
              <w:pStyle w:val="TableContents"/>
              <w:bidi w:val="0"/>
              <w:spacing w:before="0" w:after="20"/>
              <w:jc w:val="right"/>
              <w:rPr>
                <w:rFonts w:ascii="Times New Roman" w:hAnsi="Times New Roman"/>
                <w:sz w:val="20"/>
              </w:rPr>
            </w:pPr>
            <w:r>
              <w:rPr>
                <w:rFonts w:ascii="Times New Roman" w:hAnsi="Times New Roman"/>
                <w:sz w:val="20"/>
              </w:rPr>
              <w:t></w:t>
            </w:r>
          </w:p>
        </w:tc>
        <w:tc>
          <w:tcPr>
            <w:tcW w:w="470" w:type="dxa"/>
            <w:tcBorders/>
            <w:shd w:fill="CCEEFF" w:val="clear"/>
          </w:tcPr>
          <w:p>
            <w:pPr>
              <w:pStyle w:val="TableContents"/>
              <w:bidi w:val="0"/>
              <w:jc w:val="left"/>
              <w:rPr/>
            </w:pPr>
            <w:r>
              <w:rPr/>
              <w:t> </w:t>
            </w:r>
          </w:p>
          <w:p>
            <w:pPr>
              <w:pStyle w:val="TableContents"/>
              <w:bidi w:val="0"/>
              <w:spacing w:before="0" w:after="20"/>
              <w:jc w:val="left"/>
              <w:rPr/>
            </w:pPr>
            <w:r>
              <w:rPr/>
              <w:t> </w:t>
            </w:r>
          </w:p>
        </w:tc>
        <w:tc>
          <w:tcPr>
            <w:tcW w:w="84" w:type="dxa"/>
            <w:tcBorders/>
            <w:shd w:fill="CCEEFF" w:val="clear"/>
            <w:vAlign w:val="bottom"/>
          </w:tcPr>
          <w:p>
            <w:pPr>
              <w:pStyle w:val="TableContents"/>
              <w:bidi w:val="0"/>
              <w:spacing w:before="0" w:after="283"/>
              <w:jc w:val="left"/>
              <w:rPr/>
            </w:pPr>
            <w:r>
              <w:rPr/>
              <w:t> </w:t>
            </w:r>
          </w:p>
        </w:tc>
        <w:tc>
          <w:tcPr>
            <w:tcW w:w="2077" w:type="dxa"/>
            <w:tcBorders/>
            <w:shd w:fill="CCEEFF" w:val="clear"/>
          </w:tcPr>
          <w:p>
            <w:pPr>
              <w:pStyle w:val="TableContents"/>
              <w:bidi w:val="0"/>
              <w:jc w:val="center"/>
              <w:rPr/>
            </w:pPr>
            <w:r>
              <w:rPr/>
              <w:t>No</w:t>
            </w:r>
          </w:p>
          <w:p>
            <w:pPr>
              <w:pStyle w:val="TableContents"/>
              <w:bidi w:val="0"/>
              <w:spacing w:before="0" w:after="20"/>
              <w:jc w:val="center"/>
              <w:rPr>
                <w:rFonts w:ascii="Times New Roman" w:hAnsi="Times New Roman"/>
                <w:sz w:val="20"/>
              </w:rPr>
            </w:pPr>
            <w:r>
              <w:rPr>
                <w:rFonts w:ascii="Times New Roman" w:hAnsi="Times New Roman"/>
                <w:sz w:val="20"/>
              </w:rPr>
              <w:t>110.0% average BPI 82</w:t>
            </w:r>
          </w:p>
        </w:tc>
        <w:tc>
          <w:tcPr>
            <w:tcW w:w="84" w:type="dxa"/>
            <w:tcBorders/>
            <w:shd w:fill="CCEEFF" w:val="clear"/>
            <w:vAlign w:val="bottom"/>
          </w:tcPr>
          <w:p>
            <w:pPr>
              <w:pStyle w:val="TableContents"/>
              <w:bidi w:val="0"/>
              <w:spacing w:before="0" w:after="283"/>
              <w:jc w:val="left"/>
              <w:rPr/>
            </w:pPr>
            <w:r>
              <w:rPr/>
              <w:t> </w:t>
            </w:r>
          </w:p>
        </w:tc>
        <w:tc>
          <w:tcPr>
            <w:tcW w:w="129" w:type="dxa"/>
            <w:tcBorders/>
            <w:shd w:fill="CCEEFF" w:val="clear"/>
          </w:tcPr>
          <w:p>
            <w:pPr>
              <w:pStyle w:val="TableContents"/>
              <w:bidi w:val="0"/>
              <w:spacing w:before="0" w:after="283"/>
              <w:jc w:val="left"/>
              <w:rPr/>
            </w:pPr>
            <w:r>
              <w:rPr/>
              <w:t> </w:t>
            </w:r>
          </w:p>
        </w:tc>
        <w:tc>
          <w:tcPr>
            <w:tcW w:w="996" w:type="dxa"/>
            <w:tcBorders/>
            <w:shd w:fill="CCEEFF" w:val="clear"/>
          </w:tcPr>
          <w:p>
            <w:pPr>
              <w:pStyle w:val="TableContents"/>
              <w:bidi w:val="0"/>
              <w:jc w:val="right"/>
              <w:rPr/>
            </w:pPr>
            <w:r>
              <w:rPr/>
              <w:t>Jun-23</w:t>
            </w:r>
          </w:p>
          <w:p>
            <w:pPr>
              <w:pStyle w:val="TableContents"/>
              <w:bidi w:val="0"/>
              <w:spacing w:before="0" w:after="20"/>
              <w:jc w:val="right"/>
              <w:rPr>
                <w:rFonts w:ascii="Times New Roman" w:hAnsi="Times New Roman"/>
                <w:sz w:val="20"/>
              </w:rPr>
            </w:pPr>
            <w:r>
              <w:rPr>
                <w:rFonts w:ascii="Times New Roman" w:hAnsi="Times New Roman"/>
                <w:sz w:val="20"/>
              </w:rPr>
              <w:t>Apr-24</w:t>
            </w:r>
          </w:p>
        </w:tc>
        <w:tc>
          <w:tcPr>
            <w:tcW w:w="69" w:type="dxa"/>
            <w:tcBorders/>
            <w:shd w:fill="CCEEFF" w:val="clear"/>
          </w:tcPr>
          <w:p>
            <w:pPr>
              <w:pStyle w:val="TableContents"/>
              <w:bidi w:val="0"/>
              <w:jc w:val="left"/>
              <w:rPr/>
            </w:pPr>
            <w:r>
              <w:rPr/>
              <w:t> </w:t>
            </w:r>
          </w:p>
          <w:p>
            <w:pPr>
              <w:pStyle w:val="TableContents"/>
              <w:bidi w:val="0"/>
              <w:spacing w:before="0" w:after="20"/>
              <w:jc w:val="left"/>
              <w:rPr/>
            </w:pPr>
            <w:r>
              <w:rPr/>
              <w:t> </w:t>
            </w:r>
          </w:p>
        </w:tc>
      </w:tr>
      <w:tr>
        <w:trPr/>
        <w:tc>
          <w:tcPr>
            <w:tcW w:w="1919" w:type="dxa"/>
            <w:tcBorders/>
          </w:tcPr>
          <w:p>
            <w:pPr>
              <w:pStyle w:val="TableContents"/>
              <w:bidi w:val="0"/>
              <w:spacing w:before="0" w:after="0"/>
              <w:jc w:val="left"/>
              <w:rPr>
                <w:rFonts w:ascii="Times New Roman" w:hAnsi="Times New Roman"/>
                <w:sz w:val="20"/>
              </w:rPr>
            </w:pPr>
            <w:r>
              <w:rPr>
                <w:rFonts w:ascii="Times New Roman" w:hAnsi="Times New Roman"/>
                <w:sz w:val="20"/>
              </w:rPr>
              <w:t>Baghdad</w:t>
            </w:r>
          </w:p>
        </w:tc>
        <w:tc>
          <w:tcPr>
            <w:tcW w:w="140"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center"/>
              <w:rPr/>
            </w:pPr>
            <w:r>
              <w:rPr/>
              <w:t>VLCC</w:t>
            </w:r>
          </w:p>
        </w:tc>
        <w:tc>
          <w:tcPr>
            <w:tcW w:w="140" w:type="dxa"/>
            <w:tcBorders/>
            <w:vAlign w:val="bottom"/>
          </w:tcPr>
          <w:p>
            <w:pPr>
              <w:pStyle w:val="TableContents"/>
              <w:bidi w:val="0"/>
              <w:spacing w:before="0" w:after="283"/>
              <w:jc w:val="left"/>
              <w:rPr/>
            </w:pPr>
            <w:r>
              <w:rPr/>
              <w:t>  </w:t>
            </w:r>
          </w:p>
        </w:tc>
        <w:tc>
          <w:tcPr>
            <w:tcW w:w="526" w:type="dxa"/>
            <w:tcBorders/>
          </w:tcPr>
          <w:p>
            <w:pPr>
              <w:pStyle w:val="TableContents"/>
              <w:bidi w:val="0"/>
              <w:spacing w:before="0" w:after="283"/>
              <w:jc w:val="center"/>
              <w:rPr/>
            </w:pPr>
            <w:r>
              <w:rPr/>
              <w:t>2020</w:t>
            </w:r>
          </w:p>
        </w:tc>
        <w:tc>
          <w:tcPr>
            <w:tcW w:w="140" w:type="dxa"/>
            <w:tcBorders/>
            <w:vAlign w:val="bottom"/>
          </w:tcPr>
          <w:p>
            <w:pPr>
              <w:pStyle w:val="TableContents"/>
              <w:bidi w:val="0"/>
              <w:spacing w:before="0" w:after="283"/>
              <w:jc w:val="left"/>
              <w:rPr/>
            </w:pPr>
            <w:r>
              <w:rPr/>
              <w:t>  </w:t>
            </w:r>
          </w:p>
        </w:tc>
        <w:tc>
          <w:tcPr>
            <w:tcW w:w="65" w:type="dxa"/>
            <w:tcBorders/>
          </w:tcPr>
          <w:p>
            <w:pPr>
              <w:pStyle w:val="TableContents"/>
              <w:bidi w:val="0"/>
              <w:spacing w:before="0" w:after="283"/>
              <w:jc w:val="left"/>
              <w:rPr/>
            </w:pPr>
            <w:r>
              <w:rPr/>
              <w:t> </w:t>
            </w:r>
          </w:p>
        </w:tc>
        <w:tc>
          <w:tcPr>
            <w:tcW w:w="888" w:type="dxa"/>
            <w:tcBorders/>
          </w:tcPr>
          <w:p>
            <w:pPr>
              <w:pStyle w:val="TableContents"/>
              <w:bidi w:val="0"/>
              <w:spacing w:before="0" w:after="283"/>
              <w:jc w:val="right"/>
              <w:rPr/>
            </w:pPr>
            <w:r>
              <w:rPr/>
              <w:t>313,433</w:t>
            </w:r>
          </w:p>
        </w:tc>
        <w:tc>
          <w:tcPr>
            <w:tcW w:w="60" w:type="dxa"/>
            <w:tcBorders/>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231" w:type="dxa"/>
            <w:tcBorders/>
          </w:tcPr>
          <w:p>
            <w:pPr>
              <w:pStyle w:val="TableContents"/>
              <w:bidi w:val="0"/>
              <w:spacing w:before="0" w:after="283"/>
              <w:jc w:val="right"/>
              <w:rPr/>
            </w:pPr>
            <w:r>
              <w:rPr/>
              <w:t>27,816</w:t>
            </w:r>
          </w:p>
        </w:tc>
        <w:tc>
          <w:tcPr>
            <w:tcW w:w="470" w:type="dxa"/>
            <w:tcBorders/>
          </w:tcPr>
          <w:p>
            <w:pPr>
              <w:pStyle w:val="TableContents"/>
              <w:bidi w:val="0"/>
              <w:spacing w:before="0" w:after="283"/>
              <w:jc w:val="left"/>
              <w:rPr/>
            </w:pPr>
            <w:r>
              <w:rPr/>
              <w:t>(17) </w:t>
            </w:r>
          </w:p>
        </w:tc>
        <w:tc>
          <w:tcPr>
            <w:tcW w:w="84" w:type="dxa"/>
            <w:tcBorders/>
            <w:vAlign w:val="bottom"/>
          </w:tcPr>
          <w:p>
            <w:pPr>
              <w:pStyle w:val="TableContents"/>
              <w:bidi w:val="0"/>
              <w:spacing w:before="0" w:after="283"/>
              <w:jc w:val="left"/>
              <w:rPr/>
            </w:pPr>
            <w:r>
              <w:rPr/>
              <w:t> </w:t>
            </w:r>
          </w:p>
        </w:tc>
        <w:tc>
          <w:tcPr>
            <w:tcW w:w="2077" w:type="dxa"/>
            <w:tcBorders/>
          </w:tcPr>
          <w:p>
            <w:pPr>
              <w:pStyle w:val="TableContents"/>
              <w:bidi w:val="0"/>
              <w:spacing w:before="0" w:after="283"/>
              <w:jc w:val="center"/>
              <w:rPr/>
            </w:pPr>
            <w:r>
              <w:rPr/>
              <w:t>No</w:t>
            </w:r>
          </w:p>
        </w:tc>
        <w:tc>
          <w:tcPr>
            <w:tcW w:w="84" w:type="dxa"/>
            <w:tcBorders/>
            <w:vAlign w:val="bottom"/>
          </w:tcPr>
          <w:p>
            <w:pPr>
              <w:pStyle w:val="TableContents"/>
              <w:bidi w:val="0"/>
              <w:spacing w:before="0" w:after="283"/>
              <w:jc w:val="left"/>
              <w:rPr/>
            </w:pPr>
            <w:r>
              <w:rPr/>
              <w:t> </w:t>
            </w:r>
          </w:p>
        </w:tc>
        <w:tc>
          <w:tcPr>
            <w:tcW w:w="129" w:type="dxa"/>
            <w:tcBorders/>
          </w:tcPr>
          <w:p>
            <w:pPr>
              <w:pStyle w:val="TableContents"/>
              <w:bidi w:val="0"/>
              <w:spacing w:before="0" w:after="283"/>
              <w:jc w:val="left"/>
              <w:rPr/>
            </w:pPr>
            <w:r>
              <w:rPr/>
              <w:t> </w:t>
            </w:r>
          </w:p>
        </w:tc>
        <w:tc>
          <w:tcPr>
            <w:tcW w:w="996" w:type="dxa"/>
            <w:tcBorders/>
          </w:tcPr>
          <w:p>
            <w:pPr>
              <w:pStyle w:val="TableContents"/>
              <w:bidi w:val="0"/>
              <w:spacing w:before="0" w:after="283"/>
              <w:jc w:val="right"/>
              <w:rPr/>
            </w:pPr>
            <w:r>
              <w:rPr/>
              <w:t>Sep-30</w:t>
            </w:r>
          </w:p>
        </w:tc>
        <w:tc>
          <w:tcPr>
            <w:tcW w:w="69" w:type="dxa"/>
            <w:tcBorders/>
          </w:tcPr>
          <w:p>
            <w:pPr>
              <w:pStyle w:val="TableContents"/>
              <w:bidi w:val="0"/>
              <w:spacing w:before="0" w:after="283"/>
              <w:jc w:val="left"/>
              <w:rPr/>
            </w:pPr>
            <w:r>
              <w:rPr/>
              <w:t> </w:t>
            </w:r>
          </w:p>
        </w:tc>
      </w:tr>
      <w:tr>
        <w:trPr/>
        <w:tc>
          <w:tcPr>
            <w:tcW w:w="1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 Electron</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tcPr>
          <w:p>
            <w:pPr>
              <w:pStyle w:val="TableContents"/>
              <w:bidi w:val="0"/>
              <w:spacing w:before="0" w:after="283"/>
              <w:jc w:val="center"/>
              <w:rPr/>
            </w:pPr>
            <w:r>
              <w:rPr/>
              <w:t>VLCC</w:t>
            </w:r>
          </w:p>
        </w:tc>
        <w:tc>
          <w:tcPr>
            <w:tcW w:w="140" w:type="dxa"/>
            <w:tcBorders/>
            <w:shd w:fill="CCEEFF" w:val="clear"/>
            <w:vAlign w:val="bottom"/>
          </w:tcPr>
          <w:p>
            <w:pPr>
              <w:pStyle w:val="TableContents"/>
              <w:bidi w:val="0"/>
              <w:spacing w:before="0" w:after="283"/>
              <w:jc w:val="left"/>
              <w:rPr/>
            </w:pPr>
            <w:r>
              <w:rPr/>
              <w:t>  </w:t>
            </w:r>
          </w:p>
        </w:tc>
        <w:tc>
          <w:tcPr>
            <w:tcW w:w="526" w:type="dxa"/>
            <w:tcBorders/>
            <w:shd w:fill="CCEEFF" w:val="clear"/>
          </w:tcPr>
          <w:p>
            <w:pPr>
              <w:pStyle w:val="TableContents"/>
              <w:bidi w:val="0"/>
              <w:spacing w:before="0" w:after="283"/>
              <w:jc w:val="center"/>
              <w:rPr/>
            </w:pPr>
            <w:r>
              <w:rPr/>
              <w:t>2021</w:t>
            </w:r>
          </w:p>
        </w:tc>
        <w:tc>
          <w:tcPr>
            <w:tcW w:w="140" w:type="dxa"/>
            <w:tcBorders/>
            <w:shd w:fill="CCEEFF" w:val="clear"/>
            <w:vAlign w:val="bottom"/>
          </w:tcPr>
          <w:p>
            <w:pPr>
              <w:pStyle w:val="TableContents"/>
              <w:bidi w:val="0"/>
              <w:spacing w:before="0" w:after="283"/>
              <w:jc w:val="left"/>
              <w:rPr/>
            </w:pPr>
            <w:r>
              <w:rPr/>
              <w:t>  </w:t>
            </w:r>
          </w:p>
        </w:tc>
        <w:tc>
          <w:tcPr>
            <w:tcW w:w="65" w:type="dxa"/>
            <w:tcBorders/>
            <w:shd w:fill="CCEEFF" w:val="clear"/>
          </w:tcPr>
          <w:p>
            <w:pPr>
              <w:pStyle w:val="TableContents"/>
              <w:bidi w:val="0"/>
              <w:spacing w:before="0" w:after="283"/>
              <w:jc w:val="left"/>
              <w:rPr/>
            </w:pPr>
            <w:r>
              <w:rPr/>
              <w:t> </w:t>
            </w:r>
          </w:p>
        </w:tc>
        <w:tc>
          <w:tcPr>
            <w:tcW w:w="888" w:type="dxa"/>
            <w:tcBorders/>
            <w:shd w:fill="CCEEFF" w:val="clear"/>
          </w:tcPr>
          <w:p>
            <w:pPr>
              <w:pStyle w:val="TableContents"/>
              <w:bidi w:val="0"/>
              <w:spacing w:before="0" w:after="283"/>
              <w:jc w:val="right"/>
              <w:rPr/>
            </w:pPr>
            <w:r>
              <w:rPr/>
              <w:t>313,239</w:t>
            </w:r>
          </w:p>
        </w:tc>
        <w:tc>
          <w:tcPr>
            <w:tcW w:w="60" w:type="dxa"/>
            <w:tcBorders/>
            <w:shd w:fill="CCEEFF" w:val="clear"/>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1231" w:type="dxa"/>
            <w:tcBorders/>
            <w:shd w:fill="CCEEFF" w:val="clear"/>
          </w:tcPr>
          <w:p>
            <w:pPr>
              <w:pStyle w:val="TableContents"/>
              <w:bidi w:val="0"/>
              <w:spacing w:before="0" w:after="283"/>
              <w:jc w:val="right"/>
              <w:rPr/>
            </w:pPr>
            <w:r>
              <w:rPr/>
              <w:t>47,906</w:t>
            </w:r>
          </w:p>
        </w:tc>
        <w:tc>
          <w:tcPr>
            <w:tcW w:w="470" w:type="dxa"/>
            <w:tcBorders/>
            <w:shd w:fill="CCEEFF" w:val="clear"/>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2077" w:type="dxa"/>
            <w:tcBorders/>
            <w:shd w:fill="CCEEFF" w:val="clear"/>
          </w:tcPr>
          <w:p>
            <w:pPr>
              <w:pStyle w:val="TableContents"/>
              <w:bidi w:val="0"/>
              <w:spacing w:before="0" w:after="283"/>
              <w:jc w:val="center"/>
              <w:rPr/>
            </w:pPr>
            <w:r>
              <w:rPr/>
              <w:t>Yes(16)</w:t>
            </w:r>
          </w:p>
        </w:tc>
        <w:tc>
          <w:tcPr>
            <w:tcW w:w="84" w:type="dxa"/>
            <w:tcBorders/>
            <w:shd w:fill="CCEEFF" w:val="clear"/>
            <w:vAlign w:val="bottom"/>
          </w:tcPr>
          <w:p>
            <w:pPr>
              <w:pStyle w:val="TableContents"/>
              <w:bidi w:val="0"/>
              <w:spacing w:before="0" w:after="283"/>
              <w:jc w:val="left"/>
              <w:rPr/>
            </w:pPr>
            <w:r>
              <w:rPr/>
              <w:t> </w:t>
            </w:r>
          </w:p>
        </w:tc>
        <w:tc>
          <w:tcPr>
            <w:tcW w:w="129" w:type="dxa"/>
            <w:tcBorders/>
            <w:shd w:fill="CCEEFF" w:val="clear"/>
          </w:tcPr>
          <w:p>
            <w:pPr>
              <w:pStyle w:val="TableContents"/>
              <w:bidi w:val="0"/>
              <w:spacing w:before="0" w:after="283"/>
              <w:jc w:val="left"/>
              <w:rPr/>
            </w:pPr>
            <w:r>
              <w:rPr/>
              <w:t> </w:t>
            </w:r>
          </w:p>
        </w:tc>
        <w:tc>
          <w:tcPr>
            <w:tcW w:w="996" w:type="dxa"/>
            <w:tcBorders/>
            <w:shd w:fill="CCEEFF" w:val="clear"/>
          </w:tcPr>
          <w:p>
            <w:pPr>
              <w:pStyle w:val="TableContents"/>
              <w:bidi w:val="0"/>
              <w:spacing w:before="0" w:after="283"/>
              <w:jc w:val="right"/>
              <w:rPr/>
            </w:pPr>
            <w:r>
              <w:rPr/>
              <w:t>Jan-26</w:t>
            </w:r>
          </w:p>
        </w:tc>
        <w:tc>
          <w:tcPr>
            <w:tcW w:w="69" w:type="dxa"/>
            <w:tcBorders/>
            <w:shd w:fill="CCEEFF" w:val="clear"/>
          </w:tcPr>
          <w:p>
            <w:pPr>
              <w:pStyle w:val="TableContents"/>
              <w:bidi w:val="0"/>
              <w:spacing w:before="0" w:after="283"/>
              <w:jc w:val="left"/>
              <w:rPr/>
            </w:pPr>
            <w:r>
              <w:rPr/>
              <w:t> </w:t>
            </w:r>
          </w:p>
        </w:tc>
      </w:tr>
      <w:tr>
        <w:trPr/>
        <w:tc>
          <w:tcPr>
            <w:tcW w:w="1919" w:type="dxa"/>
            <w:tcBorders/>
          </w:tcPr>
          <w:p>
            <w:pPr>
              <w:pStyle w:val="TableContents"/>
              <w:bidi w:val="0"/>
              <w:spacing w:before="0" w:after="0"/>
              <w:jc w:val="left"/>
              <w:rPr>
                <w:rFonts w:ascii="Times New Roman" w:hAnsi="Times New Roman"/>
                <w:sz w:val="20"/>
              </w:rPr>
            </w:pPr>
            <w:r>
              <w:rPr>
                <w:rFonts w:ascii="Times New Roman" w:hAnsi="Times New Roman"/>
                <w:sz w:val="20"/>
              </w:rPr>
              <w:t>Erbil</w:t>
            </w:r>
          </w:p>
        </w:tc>
        <w:tc>
          <w:tcPr>
            <w:tcW w:w="140" w:type="dxa"/>
            <w:tcBorders/>
            <w:vAlign w:val="bottom"/>
          </w:tcPr>
          <w:p>
            <w:pPr>
              <w:pStyle w:val="TableContents"/>
              <w:bidi w:val="0"/>
              <w:spacing w:before="0" w:after="283"/>
              <w:jc w:val="left"/>
              <w:rPr/>
            </w:pPr>
            <w:r>
              <w:rPr/>
              <w:t>  </w:t>
            </w:r>
          </w:p>
        </w:tc>
        <w:tc>
          <w:tcPr>
            <w:tcW w:w="907" w:type="dxa"/>
            <w:tcBorders/>
          </w:tcPr>
          <w:p>
            <w:pPr>
              <w:pStyle w:val="TableContents"/>
              <w:bidi w:val="0"/>
              <w:spacing w:before="0" w:after="283"/>
              <w:jc w:val="center"/>
              <w:rPr/>
            </w:pPr>
            <w:r>
              <w:rPr/>
              <w:t>VLCC</w:t>
            </w:r>
          </w:p>
        </w:tc>
        <w:tc>
          <w:tcPr>
            <w:tcW w:w="140" w:type="dxa"/>
            <w:tcBorders/>
            <w:vAlign w:val="bottom"/>
          </w:tcPr>
          <w:p>
            <w:pPr>
              <w:pStyle w:val="TableContents"/>
              <w:bidi w:val="0"/>
              <w:spacing w:before="0" w:after="283"/>
              <w:jc w:val="left"/>
              <w:rPr/>
            </w:pPr>
            <w:r>
              <w:rPr/>
              <w:t>  </w:t>
            </w:r>
          </w:p>
        </w:tc>
        <w:tc>
          <w:tcPr>
            <w:tcW w:w="526" w:type="dxa"/>
            <w:tcBorders/>
          </w:tcPr>
          <w:p>
            <w:pPr>
              <w:pStyle w:val="TableContents"/>
              <w:bidi w:val="0"/>
              <w:spacing w:before="0" w:after="283"/>
              <w:jc w:val="center"/>
              <w:rPr/>
            </w:pPr>
            <w:r>
              <w:rPr/>
              <w:t>2021</w:t>
            </w:r>
          </w:p>
        </w:tc>
        <w:tc>
          <w:tcPr>
            <w:tcW w:w="140" w:type="dxa"/>
            <w:tcBorders/>
            <w:vAlign w:val="bottom"/>
          </w:tcPr>
          <w:p>
            <w:pPr>
              <w:pStyle w:val="TableContents"/>
              <w:bidi w:val="0"/>
              <w:spacing w:before="0" w:after="283"/>
              <w:jc w:val="left"/>
              <w:rPr/>
            </w:pPr>
            <w:r>
              <w:rPr/>
              <w:t>  </w:t>
            </w:r>
          </w:p>
        </w:tc>
        <w:tc>
          <w:tcPr>
            <w:tcW w:w="65" w:type="dxa"/>
            <w:tcBorders/>
          </w:tcPr>
          <w:p>
            <w:pPr>
              <w:pStyle w:val="TableContents"/>
              <w:bidi w:val="0"/>
              <w:spacing w:before="0" w:after="283"/>
              <w:jc w:val="left"/>
              <w:rPr/>
            </w:pPr>
            <w:r>
              <w:rPr/>
              <w:t> </w:t>
            </w:r>
          </w:p>
        </w:tc>
        <w:tc>
          <w:tcPr>
            <w:tcW w:w="888" w:type="dxa"/>
            <w:tcBorders/>
          </w:tcPr>
          <w:p>
            <w:pPr>
              <w:pStyle w:val="TableContents"/>
              <w:bidi w:val="0"/>
              <w:spacing w:before="0" w:after="283"/>
              <w:jc w:val="right"/>
              <w:rPr/>
            </w:pPr>
            <w:r>
              <w:rPr/>
              <w:t>313,486</w:t>
            </w:r>
          </w:p>
        </w:tc>
        <w:tc>
          <w:tcPr>
            <w:tcW w:w="60" w:type="dxa"/>
            <w:tcBorders/>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231" w:type="dxa"/>
            <w:tcBorders/>
          </w:tcPr>
          <w:p>
            <w:pPr>
              <w:pStyle w:val="TableContents"/>
              <w:bidi w:val="0"/>
              <w:spacing w:before="0" w:after="283"/>
              <w:jc w:val="right"/>
              <w:rPr/>
            </w:pPr>
            <w:r>
              <w:rPr/>
              <w:t>27,816</w:t>
            </w:r>
          </w:p>
        </w:tc>
        <w:tc>
          <w:tcPr>
            <w:tcW w:w="470" w:type="dxa"/>
            <w:tcBorders/>
          </w:tcPr>
          <w:p>
            <w:pPr>
              <w:pStyle w:val="TableContents"/>
              <w:bidi w:val="0"/>
              <w:spacing w:before="0" w:after="283"/>
              <w:jc w:val="left"/>
              <w:rPr/>
            </w:pPr>
            <w:r>
              <w:rPr/>
              <w:t>(17) </w:t>
            </w:r>
          </w:p>
        </w:tc>
        <w:tc>
          <w:tcPr>
            <w:tcW w:w="84" w:type="dxa"/>
            <w:tcBorders/>
            <w:vAlign w:val="bottom"/>
          </w:tcPr>
          <w:p>
            <w:pPr>
              <w:pStyle w:val="TableContents"/>
              <w:bidi w:val="0"/>
              <w:spacing w:before="0" w:after="283"/>
              <w:jc w:val="left"/>
              <w:rPr/>
            </w:pPr>
            <w:r>
              <w:rPr/>
              <w:t> </w:t>
            </w:r>
          </w:p>
        </w:tc>
        <w:tc>
          <w:tcPr>
            <w:tcW w:w="2077" w:type="dxa"/>
            <w:tcBorders/>
          </w:tcPr>
          <w:p>
            <w:pPr>
              <w:pStyle w:val="TableContents"/>
              <w:bidi w:val="0"/>
              <w:spacing w:before="0" w:after="283"/>
              <w:jc w:val="center"/>
              <w:rPr/>
            </w:pPr>
            <w:r>
              <w:rPr/>
              <w:t>No</w:t>
            </w:r>
          </w:p>
        </w:tc>
        <w:tc>
          <w:tcPr>
            <w:tcW w:w="84" w:type="dxa"/>
            <w:tcBorders/>
            <w:vAlign w:val="bottom"/>
          </w:tcPr>
          <w:p>
            <w:pPr>
              <w:pStyle w:val="TableContents"/>
              <w:bidi w:val="0"/>
              <w:spacing w:before="0" w:after="283"/>
              <w:jc w:val="left"/>
              <w:rPr/>
            </w:pPr>
            <w:r>
              <w:rPr/>
              <w:t> </w:t>
            </w:r>
          </w:p>
        </w:tc>
        <w:tc>
          <w:tcPr>
            <w:tcW w:w="129" w:type="dxa"/>
            <w:tcBorders/>
          </w:tcPr>
          <w:p>
            <w:pPr>
              <w:pStyle w:val="TableContents"/>
              <w:bidi w:val="0"/>
              <w:spacing w:before="0" w:after="283"/>
              <w:jc w:val="left"/>
              <w:rPr/>
            </w:pPr>
            <w:r>
              <w:rPr/>
              <w:t> </w:t>
            </w:r>
          </w:p>
        </w:tc>
        <w:tc>
          <w:tcPr>
            <w:tcW w:w="996" w:type="dxa"/>
            <w:tcBorders/>
          </w:tcPr>
          <w:p>
            <w:pPr>
              <w:pStyle w:val="TableContents"/>
              <w:bidi w:val="0"/>
              <w:spacing w:before="0" w:after="283"/>
              <w:jc w:val="right"/>
              <w:rPr/>
            </w:pPr>
            <w:r>
              <w:rPr/>
              <w:t>Feb-31</w:t>
            </w:r>
          </w:p>
        </w:tc>
        <w:tc>
          <w:tcPr>
            <w:tcW w:w="69" w:type="dxa"/>
            <w:tcBorders/>
          </w:tcPr>
          <w:p>
            <w:pPr>
              <w:pStyle w:val="TableContents"/>
              <w:bidi w:val="0"/>
              <w:spacing w:before="0" w:after="283"/>
              <w:jc w:val="left"/>
              <w:rPr/>
            </w:pPr>
            <w:r>
              <w:rPr/>
              <w:t> </w:t>
            </w:r>
          </w:p>
        </w:tc>
      </w:tr>
      <w:tr>
        <w:trPr/>
        <w:tc>
          <w:tcPr>
            <w:tcW w:w="1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 Celeste</w:t>
            </w:r>
          </w:p>
        </w:tc>
        <w:tc>
          <w:tcPr>
            <w:tcW w:w="140" w:type="dxa"/>
            <w:tcBorders/>
            <w:shd w:fill="CCEEFF" w:val="clear"/>
            <w:vAlign w:val="bottom"/>
          </w:tcPr>
          <w:p>
            <w:pPr>
              <w:pStyle w:val="TableContents"/>
              <w:bidi w:val="0"/>
              <w:spacing w:before="0" w:after="283"/>
              <w:jc w:val="left"/>
              <w:rPr/>
            </w:pPr>
            <w:r>
              <w:rPr/>
              <w:t>  </w:t>
            </w:r>
          </w:p>
        </w:tc>
        <w:tc>
          <w:tcPr>
            <w:tcW w:w="907" w:type="dxa"/>
            <w:tcBorders/>
            <w:shd w:fill="CCEEFF" w:val="clear"/>
          </w:tcPr>
          <w:p>
            <w:pPr>
              <w:pStyle w:val="TableContents"/>
              <w:bidi w:val="0"/>
              <w:spacing w:before="0" w:after="283"/>
              <w:jc w:val="center"/>
              <w:rPr/>
            </w:pPr>
            <w:r>
              <w:rPr/>
              <w:t>VLCC</w:t>
            </w:r>
          </w:p>
        </w:tc>
        <w:tc>
          <w:tcPr>
            <w:tcW w:w="140" w:type="dxa"/>
            <w:tcBorders/>
            <w:shd w:fill="CCEEFF" w:val="clear"/>
            <w:vAlign w:val="bottom"/>
          </w:tcPr>
          <w:p>
            <w:pPr>
              <w:pStyle w:val="TableContents"/>
              <w:bidi w:val="0"/>
              <w:spacing w:before="0" w:after="283"/>
              <w:jc w:val="left"/>
              <w:rPr/>
            </w:pPr>
            <w:r>
              <w:rPr/>
              <w:t>  </w:t>
            </w:r>
          </w:p>
        </w:tc>
        <w:tc>
          <w:tcPr>
            <w:tcW w:w="526" w:type="dxa"/>
            <w:tcBorders/>
            <w:shd w:fill="CCEEFF" w:val="clear"/>
          </w:tcPr>
          <w:p>
            <w:pPr>
              <w:pStyle w:val="TableContents"/>
              <w:bidi w:val="0"/>
              <w:spacing w:before="0" w:after="283"/>
              <w:jc w:val="center"/>
              <w:rPr/>
            </w:pPr>
            <w:r>
              <w:rPr/>
              <w:t>2022</w:t>
            </w:r>
          </w:p>
        </w:tc>
        <w:tc>
          <w:tcPr>
            <w:tcW w:w="140" w:type="dxa"/>
            <w:tcBorders/>
            <w:shd w:fill="CCEEFF" w:val="clear"/>
            <w:vAlign w:val="bottom"/>
          </w:tcPr>
          <w:p>
            <w:pPr>
              <w:pStyle w:val="TableContents"/>
              <w:bidi w:val="0"/>
              <w:spacing w:before="0" w:after="283"/>
              <w:jc w:val="left"/>
              <w:rPr/>
            </w:pPr>
            <w:r>
              <w:rPr/>
              <w:t>  </w:t>
            </w:r>
          </w:p>
        </w:tc>
        <w:tc>
          <w:tcPr>
            <w:tcW w:w="65" w:type="dxa"/>
            <w:tcBorders/>
            <w:shd w:fill="CCEEFF" w:val="clear"/>
          </w:tcPr>
          <w:p>
            <w:pPr>
              <w:pStyle w:val="TableContents"/>
              <w:bidi w:val="0"/>
              <w:spacing w:before="0" w:after="283"/>
              <w:jc w:val="left"/>
              <w:rPr/>
            </w:pPr>
            <w:r>
              <w:rPr/>
              <w:t> </w:t>
            </w:r>
          </w:p>
        </w:tc>
        <w:tc>
          <w:tcPr>
            <w:tcW w:w="888" w:type="dxa"/>
            <w:tcBorders/>
            <w:shd w:fill="CCEEFF" w:val="clear"/>
          </w:tcPr>
          <w:p>
            <w:pPr>
              <w:pStyle w:val="TableContents"/>
              <w:bidi w:val="0"/>
              <w:spacing w:before="0" w:after="283"/>
              <w:jc w:val="right"/>
              <w:rPr/>
            </w:pPr>
            <w:r>
              <w:rPr/>
              <w:t>313,418</w:t>
            </w:r>
          </w:p>
        </w:tc>
        <w:tc>
          <w:tcPr>
            <w:tcW w:w="60" w:type="dxa"/>
            <w:tcBorders/>
            <w:shd w:fill="CCEEFF" w:val="clear"/>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1231" w:type="dxa"/>
            <w:tcBorders/>
            <w:shd w:fill="CCEEFF" w:val="clear"/>
          </w:tcPr>
          <w:p>
            <w:pPr>
              <w:pStyle w:val="TableContents"/>
              <w:bidi w:val="0"/>
              <w:spacing w:before="0" w:after="283"/>
              <w:jc w:val="right"/>
              <w:rPr/>
            </w:pPr>
            <w:r>
              <w:rPr/>
              <w:t>Floating rate</w:t>
            </w:r>
          </w:p>
        </w:tc>
        <w:tc>
          <w:tcPr>
            <w:tcW w:w="470" w:type="dxa"/>
            <w:tcBorders/>
            <w:shd w:fill="CCEEFF" w:val="clear"/>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2077" w:type="dxa"/>
            <w:tcBorders/>
            <w:shd w:fill="CCEEFF" w:val="clear"/>
          </w:tcPr>
          <w:p>
            <w:pPr>
              <w:pStyle w:val="TableContents"/>
              <w:bidi w:val="0"/>
              <w:spacing w:before="0" w:after="283"/>
              <w:jc w:val="center"/>
              <w:rPr/>
            </w:pPr>
            <w:r>
              <w:rPr/>
              <w:t>Yes(18)</w:t>
            </w:r>
          </w:p>
        </w:tc>
        <w:tc>
          <w:tcPr>
            <w:tcW w:w="84" w:type="dxa"/>
            <w:tcBorders/>
            <w:shd w:fill="CCEEFF" w:val="clear"/>
            <w:vAlign w:val="bottom"/>
          </w:tcPr>
          <w:p>
            <w:pPr>
              <w:pStyle w:val="TableContents"/>
              <w:bidi w:val="0"/>
              <w:spacing w:before="0" w:after="283"/>
              <w:jc w:val="left"/>
              <w:rPr/>
            </w:pPr>
            <w:r>
              <w:rPr/>
              <w:t> </w:t>
            </w:r>
          </w:p>
        </w:tc>
        <w:tc>
          <w:tcPr>
            <w:tcW w:w="129" w:type="dxa"/>
            <w:tcBorders/>
            <w:shd w:fill="CCEEFF" w:val="clear"/>
          </w:tcPr>
          <w:p>
            <w:pPr>
              <w:pStyle w:val="TableContents"/>
              <w:bidi w:val="0"/>
              <w:spacing w:before="0" w:after="283"/>
              <w:jc w:val="left"/>
              <w:rPr/>
            </w:pPr>
            <w:r>
              <w:rPr/>
              <w:t> </w:t>
            </w:r>
          </w:p>
        </w:tc>
        <w:tc>
          <w:tcPr>
            <w:tcW w:w="996" w:type="dxa"/>
            <w:tcBorders/>
            <w:shd w:fill="CCEEFF" w:val="clear"/>
          </w:tcPr>
          <w:p>
            <w:pPr>
              <w:pStyle w:val="TableContents"/>
              <w:bidi w:val="0"/>
              <w:spacing w:before="0" w:after="283"/>
              <w:jc w:val="right"/>
              <w:rPr/>
            </w:pPr>
            <w:r>
              <w:rPr/>
              <w:t>Jul-24</w:t>
            </w:r>
          </w:p>
        </w:tc>
        <w:tc>
          <w:tcPr>
            <w:tcW w:w="69" w:type="dxa"/>
            <w:tcBorders/>
            <w:shd w:fill="CCEEFF" w:val="clea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11125" w:type="dxa"/>
        <w:jc w:val="center"/>
        <w:tblInd w:w="0" w:type="dxa"/>
        <w:tblLayout w:type="fixed"/>
        <w:tblCellMar>
          <w:top w:w="0" w:type="dxa"/>
          <w:left w:w="0" w:type="dxa"/>
          <w:bottom w:w="0" w:type="dxa"/>
          <w:right w:w="0" w:type="dxa"/>
        </w:tblCellMar>
      </w:tblPr>
      <w:tblGrid>
        <w:gridCol w:w="1475"/>
        <w:gridCol w:w="120"/>
        <w:gridCol w:w="1625"/>
        <w:gridCol w:w="120"/>
        <w:gridCol w:w="515"/>
        <w:gridCol w:w="120"/>
        <w:gridCol w:w="75"/>
        <w:gridCol w:w="860"/>
        <w:gridCol w:w="60"/>
        <w:gridCol w:w="120"/>
        <w:gridCol w:w="223"/>
        <w:gridCol w:w="1087"/>
        <w:gridCol w:w="470"/>
        <w:gridCol w:w="60"/>
        <w:gridCol w:w="2900"/>
        <w:gridCol w:w="120"/>
        <w:gridCol w:w="122"/>
        <w:gridCol w:w="993"/>
        <w:gridCol w:w="60"/>
      </w:tblGrid>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Chartered-in vessels</w:t>
            </w:r>
          </w:p>
        </w:tc>
        <w:tc>
          <w:tcPr>
            <w:tcW w:w="120" w:type="dxa"/>
            <w:tcBorders/>
            <w:vAlign w:val="bottom"/>
          </w:tcPr>
          <w:p>
            <w:pPr>
              <w:pStyle w:val="TableContents"/>
              <w:bidi w:val="0"/>
              <w:spacing w:before="0" w:after="283"/>
              <w:jc w:val="left"/>
              <w:rPr/>
            </w:pPr>
            <w:r>
              <w:rPr/>
              <w:t>  </w:t>
            </w:r>
          </w:p>
        </w:tc>
        <w:tc>
          <w:tcPr>
            <w:tcW w:w="1625" w:type="dxa"/>
            <w:tcBorders>
              <w:bottom w:val="single" w:sz="8" w:space="0" w:color="000000"/>
            </w:tcBorders>
            <w:tcMar>
              <w:bottom w:w="28" w:type="dxa"/>
            </w:tcMar>
            <w:vAlign w:val="bottom"/>
          </w:tcPr>
          <w:p>
            <w:pPr>
              <w:pStyle w:val="TableContents"/>
              <w:bidi w:val="0"/>
              <w:spacing w:before="0" w:after="283"/>
              <w:jc w:val="center"/>
              <w:rPr>
                <w:b/>
              </w:rPr>
            </w:pPr>
            <w:r>
              <w:rPr>
                <w:b/>
              </w:rPr>
              <w:t>Type</w:t>
            </w:r>
          </w:p>
        </w:tc>
        <w:tc>
          <w:tcPr>
            <w:tcW w:w="120" w:type="dxa"/>
            <w:tcBorders/>
            <w:vAlign w:val="bottom"/>
          </w:tcPr>
          <w:p>
            <w:pPr>
              <w:pStyle w:val="TableContents"/>
              <w:bidi w:val="0"/>
              <w:spacing w:before="0" w:after="283"/>
              <w:jc w:val="left"/>
              <w:rPr/>
            </w:pPr>
            <w:r>
              <w:rPr/>
              <w:t>  </w:t>
            </w:r>
          </w:p>
        </w:tc>
        <w:tc>
          <w:tcPr>
            <w:tcW w:w="515" w:type="dxa"/>
            <w:tcBorders>
              <w:bottom w:val="single" w:sz="8" w:space="0" w:color="000000"/>
            </w:tcBorders>
            <w:tcMar>
              <w:bottom w:w="28" w:type="dxa"/>
            </w:tcMar>
            <w:vAlign w:val="bottom"/>
          </w:tcPr>
          <w:p>
            <w:pPr>
              <w:pStyle w:val="TableContents"/>
              <w:bidi w:val="0"/>
              <w:spacing w:before="0" w:after="283"/>
              <w:jc w:val="center"/>
              <w:rPr>
                <w:b/>
              </w:rPr>
            </w:pPr>
            <w:r>
              <w:rPr>
                <w:b/>
              </w:rPr>
              <w:t>Built</w:t>
            </w:r>
          </w:p>
        </w:tc>
        <w:tc>
          <w:tcPr>
            <w:tcW w:w="12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Capacity</w:t>
              <w:br/>
              <w:t>(DWT)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Charter-Out</w:t>
              <w:br/>
              <w:t>Rate(1)</w:t>
            </w:r>
          </w:p>
        </w:tc>
        <w:tc>
          <w:tcPr>
            <w:tcW w:w="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0" w:type="dxa"/>
            <w:tcBorders>
              <w:bottom w:val="single" w:sz="8" w:space="0" w:color="000000"/>
            </w:tcBorders>
            <w:tcMar>
              <w:bottom w:w="28" w:type="dxa"/>
            </w:tcMar>
            <w:vAlign w:val="bottom"/>
          </w:tcPr>
          <w:p>
            <w:pPr>
              <w:pStyle w:val="TableContents"/>
              <w:bidi w:val="0"/>
              <w:spacing w:before="0" w:after="283"/>
              <w:jc w:val="center"/>
              <w:rPr>
                <w:b/>
              </w:rPr>
            </w:pPr>
            <w:r>
              <w:rPr>
                <w:b/>
              </w:rPr>
              <w:t>Index(2)</w:t>
            </w:r>
          </w:p>
        </w:tc>
        <w:tc>
          <w:tcPr>
            <w:tcW w:w="12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Expiration</w:t>
              <w:br/>
              <w:t>Date(3)</w:t>
            </w:r>
          </w:p>
        </w:tc>
        <w:tc>
          <w:tcPr>
            <w:tcW w:w="60" w:type="dxa"/>
            <w:tcBorders/>
            <w:vAlign w:val="bottom"/>
          </w:tcPr>
          <w:p>
            <w:pPr>
              <w:pStyle w:val="TableContents"/>
              <w:bidi w:val="0"/>
              <w:spacing w:before="0" w:after="283"/>
              <w:jc w:val="left"/>
              <w:rPr/>
            </w:pPr>
            <w:r>
              <w:rPr/>
              <w:t> </w:t>
            </w:r>
          </w:p>
        </w:tc>
      </w:tr>
      <w:tr>
        <w:trPr/>
        <w:tc>
          <w:tcPr>
            <w:tcW w:w="1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Lyra</w:t>
            </w:r>
          </w:p>
        </w:tc>
        <w:tc>
          <w:tcPr>
            <w:tcW w:w="120" w:type="dxa"/>
            <w:tcBorders/>
            <w:shd w:fill="CCEEFF" w:val="clear"/>
            <w:vAlign w:val="bottom"/>
          </w:tcPr>
          <w:p>
            <w:pPr>
              <w:pStyle w:val="TableContents"/>
              <w:bidi w:val="0"/>
              <w:spacing w:before="0" w:after="283"/>
              <w:jc w:val="left"/>
              <w:rPr/>
            </w:pPr>
            <w:r>
              <w:rPr/>
              <w:t>  </w:t>
            </w:r>
          </w:p>
        </w:tc>
        <w:tc>
          <w:tcPr>
            <w:tcW w:w="1625" w:type="dxa"/>
            <w:tcBorders/>
            <w:shd w:fill="CCEEFF" w:val="clear"/>
          </w:tcPr>
          <w:p>
            <w:pPr>
              <w:pStyle w:val="TableContents"/>
              <w:bidi w:val="0"/>
              <w:spacing w:before="0" w:after="283"/>
              <w:jc w:val="center"/>
              <w:rPr/>
            </w:pPr>
            <w:r>
              <w:rPr/>
              <w:t>Handysize</w:t>
            </w:r>
          </w:p>
        </w:tc>
        <w:tc>
          <w:tcPr>
            <w:tcW w:w="120" w:type="dxa"/>
            <w:tcBorders/>
            <w:shd w:fill="CCEEFF" w:val="clear"/>
            <w:vAlign w:val="bottom"/>
          </w:tcPr>
          <w:p>
            <w:pPr>
              <w:pStyle w:val="TableContents"/>
              <w:bidi w:val="0"/>
              <w:spacing w:before="0" w:after="283"/>
              <w:jc w:val="left"/>
              <w:rPr/>
            </w:pPr>
            <w:r>
              <w:rPr/>
              <w:t>  </w:t>
            </w:r>
          </w:p>
        </w:tc>
        <w:tc>
          <w:tcPr>
            <w:tcW w:w="515" w:type="dxa"/>
            <w:tcBorders/>
            <w:shd w:fill="CCEEFF" w:val="clear"/>
          </w:tcPr>
          <w:p>
            <w:pPr>
              <w:pStyle w:val="TableContents"/>
              <w:bidi w:val="0"/>
              <w:spacing w:before="0" w:after="283"/>
              <w:jc w:val="center"/>
              <w:rPr/>
            </w:pPr>
            <w:r>
              <w:rPr/>
              <w:t>2012</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right"/>
              <w:rPr/>
            </w:pPr>
            <w:r>
              <w:rPr/>
              <w:t>34,718</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3" w:type="dxa"/>
            <w:tcBorders/>
            <w:shd w:fill="CCEEFF" w:val="clear"/>
          </w:tcPr>
          <w:p>
            <w:pPr>
              <w:pStyle w:val="TableContents"/>
              <w:bidi w:val="0"/>
              <w:spacing w:before="0" w:after="283"/>
              <w:jc w:val="left"/>
              <w:rPr/>
            </w:pPr>
            <w:r>
              <w:rPr/>
              <w:t>$</w:t>
            </w:r>
          </w:p>
        </w:tc>
        <w:tc>
          <w:tcPr>
            <w:tcW w:w="1087" w:type="dxa"/>
            <w:tcBorders/>
            <w:shd w:fill="CCEEFF" w:val="clear"/>
          </w:tcPr>
          <w:p>
            <w:pPr>
              <w:pStyle w:val="TableContents"/>
              <w:bidi w:val="0"/>
              <w:spacing w:before="0" w:after="283"/>
              <w:jc w:val="right"/>
              <w:rPr/>
            </w:pPr>
            <w:r>
              <w:rPr/>
              <w:t>9,975</w:t>
            </w:r>
          </w:p>
        </w:tc>
        <w:tc>
          <w:tcPr>
            <w:tcW w:w="47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0" w:type="dxa"/>
            <w:tcBorders/>
            <w:shd w:fill="CCEEFF" w:val="clear"/>
          </w:tcPr>
          <w:p>
            <w:pPr>
              <w:pStyle w:val="TableContents"/>
              <w:bidi w:val="0"/>
              <w:spacing w:before="0" w:after="283"/>
              <w:jc w:val="center"/>
              <w:rPr/>
            </w:pPr>
            <w:r>
              <w:rPr/>
              <w:t>No</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tcPr>
          <w:p>
            <w:pPr>
              <w:pStyle w:val="TableContents"/>
              <w:bidi w:val="0"/>
              <w:spacing w:before="0" w:after="283"/>
              <w:jc w:val="left"/>
              <w:rPr/>
            </w:pPr>
            <w:r>
              <w:rPr/>
              <w:t> </w:t>
            </w:r>
          </w:p>
        </w:tc>
        <w:tc>
          <w:tcPr>
            <w:tcW w:w="993" w:type="dxa"/>
            <w:tcBorders/>
            <w:shd w:fill="CCEEFF" w:val="clear"/>
          </w:tcPr>
          <w:p>
            <w:pPr>
              <w:pStyle w:val="TableContents"/>
              <w:bidi w:val="0"/>
              <w:spacing w:before="0" w:after="283"/>
              <w:jc w:val="right"/>
              <w:rPr/>
            </w:pPr>
            <w:r>
              <w:rPr/>
              <w:t>Oct-23</w:t>
            </w:r>
          </w:p>
        </w:tc>
        <w:tc>
          <w:tcPr>
            <w:tcW w:w="60" w:type="dxa"/>
            <w:tcBorders/>
            <w:shd w:fill="CCEEFF" w:val="clear"/>
          </w:tcPr>
          <w:p>
            <w:pPr>
              <w:pStyle w:val="TableContents"/>
              <w:bidi w:val="0"/>
              <w:spacing w:before="0" w:after="283"/>
              <w:jc w:val="left"/>
              <w:rPr/>
            </w:pPr>
            <w:r>
              <w:rPr/>
              <w:t> </w:t>
            </w:r>
          </w:p>
        </w:tc>
      </w:tr>
      <w:tr>
        <w:trPr/>
        <w:tc>
          <w:tcPr>
            <w:tcW w:w="1475" w:type="dxa"/>
            <w:tcBorders/>
          </w:tcPr>
          <w:p>
            <w:pPr>
              <w:pStyle w:val="TableContents"/>
              <w:bidi w:val="0"/>
              <w:spacing w:before="0" w:after="0"/>
              <w:jc w:val="left"/>
              <w:rPr>
                <w:rFonts w:ascii="Times New Roman" w:hAnsi="Times New Roman"/>
                <w:sz w:val="20"/>
              </w:rPr>
            </w:pPr>
            <w:r>
              <w:rPr>
                <w:rFonts w:ascii="Times New Roman" w:hAnsi="Times New Roman"/>
                <w:sz w:val="20"/>
              </w:rPr>
              <w:t>Navios Venus</w:t>
            </w:r>
          </w:p>
        </w:tc>
        <w:tc>
          <w:tcPr>
            <w:tcW w:w="120" w:type="dxa"/>
            <w:tcBorders/>
            <w:vAlign w:val="bottom"/>
          </w:tcPr>
          <w:p>
            <w:pPr>
              <w:pStyle w:val="TableContents"/>
              <w:bidi w:val="0"/>
              <w:spacing w:before="0" w:after="283"/>
              <w:jc w:val="left"/>
              <w:rPr/>
            </w:pPr>
            <w:r>
              <w:rPr/>
              <w:t>  </w:t>
            </w:r>
          </w:p>
        </w:tc>
        <w:tc>
          <w:tcPr>
            <w:tcW w:w="1625" w:type="dxa"/>
            <w:tcBorders/>
          </w:tcPr>
          <w:p>
            <w:pPr>
              <w:pStyle w:val="TableContents"/>
              <w:bidi w:val="0"/>
              <w:spacing w:before="0" w:after="283"/>
              <w:jc w:val="center"/>
              <w:rPr/>
            </w:pPr>
            <w:r>
              <w:rPr/>
              <w:t>Ultra-Handymax</w:t>
            </w:r>
          </w:p>
        </w:tc>
        <w:tc>
          <w:tcPr>
            <w:tcW w:w="120" w:type="dxa"/>
            <w:tcBorders/>
            <w:vAlign w:val="bottom"/>
          </w:tcPr>
          <w:p>
            <w:pPr>
              <w:pStyle w:val="TableContents"/>
              <w:bidi w:val="0"/>
              <w:spacing w:before="0" w:after="283"/>
              <w:jc w:val="left"/>
              <w:rPr/>
            </w:pPr>
            <w:r>
              <w:rPr/>
              <w:t>  </w:t>
            </w:r>
          </w:p>
        </w:tc>
        <w:tc>
          <w:tcPr>
            <w:tcW w:w="515" w:type="dxa"/>
            <w:tcBorders/>
          </w:tcPr>
          <w:p>
            <w:pPr>
              <w:pStyle w:val="TableContents"/>
              <w:bidi w:val="0"/>
              <w:spacing w:before="0" w:after="283"/>
              <w:jc w:val="center"/>
              <w:rPr/>
            </w:pPr>
            <w:r>
              <w:rPr/>
              <w:t>2015</w:t>
            </w:r>
          </w:p>
        </w:tc>
        <w:tc>
          <w:tcPr>
            <w:tcW w:w="12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61,339</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3" w:type="dxa"/>
            <w:tcBorders/>
          </w:tcPr>
          <w:p>
            <w:pPr>
              <w:pStyle w:val="TableContents"/>
              <w:bidi w:val="0"/>
              <w:spacing w:before="0" w:after="283"/>
              <w:jc w:val="left"/>
              <w:rPr/>
            </w:pPr>
            <w:r>
              <w:rPr/>
              <w:t> </w:t>
            </w:r>
          </w:p>
        </w:tc>
        <w:tc>
          <w:tcPr>
            <w:tcW w:w="1087" w:type="dxa"/>
            <w:tcBorders/>
          </w:tcPr>
          <w:p>
            <w:pPr>
              <w:pStyle w:val="TableContents"/>
              <w:bidi w:val="0"/>
              <w:spacing w:before="0" w:after="283"/>
              <w:jc w:val="right"/>
              <w:rPr/>
            </w:pPr>
            <w:r>
              <w:rPr/>
              <w:t></w:t>
            </w:r>
          </w:p>
        </w:tc>
        <w:tc>
          <w:tcPr>
            <w:tcW w:w="47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0" w:type="dxa"/>
            <w:tcBorders/>
          </w:tcPr>
          <w:p>
            <w:pPr>
              <w:pStyle w:val="TableContents"/>
              <w:bidi w:val="0"/>
              <w:spacing w:before="0" w:after="283"/>
              <w:jc w:val="center"/>
              <w:rPr/>
            </w:pPr>
            <w:r>
              <w:rPr/>
              <w:t>111.0% average BSI 58 10TC</w:t>
            </w:r>
          </w:p>
        </w:tc>
        <w:tc>
          <w:tcPr>
            <w:tcW w:w="120"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Feb-24</w:t>
            </w:r>
          </w:p>
        </w:tc>
        <w:tc>
          <w:tcPr>
            <w:tcW w:w="60" w:type="dxa"/>
            <w:tcBorders/>
          </w:tcPr>
          <w:p>
            <w:pPr>
              <w:pStyle w:val="TableContents"/>
              <w:bidi w:val="0"/>
              <w:spacing w:before="0" w:after="283"/>
              <w:jc w:val="left"/>
              <w:rPr/>
            </w:pPr>
            <w:r>
              <w:rPr/>
              <w:t> </w:t>
            </w:r>
          </w:p>
        </w:tc>
      </w:tr>
      <w:tr>
        <w:trPr/>
        <w:tc>
          <w:tcPr>
            <w:tcW w:w="1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Amber(19)</w:t>
            </w:r>
          </w:p>
        </w:tc>
        <w:tc>
          <w:tcPr>
            <w:tcW w:w="120" w:type="dxa"/>
            <w:tcBorders/>
            <w:shd w:fill="CCEEFF" w:val="clear"/>
            <w:vAlign w:val="bottom"/>
          </w:tcPr>
          <w:p>
            <w:pPr>
              <w:pStyle w:val="TableContents"/>
              <w:bidi w:val="0"/>
              <w:spacing w:before="0" w:after="283"/>
              <w:jc w:val="left"/>
              <w:rPr/>
            </w:pPr>
            <w:r>
              <w:rPr/>
              <w:t>  </w:t>
            </w:r>
          </w:p>
        </w:tc>
        <w:tc>
          <w:tcPr>
            <w:tcW w:w="1625" w:type="dxa"/>
            <w:tcBorders/>
            <w:shd w:fill="CCEEFF" w:val="clear"/>
          </w:tcPr>
          <w:p>
            <w:pPr>
              <w:pStyle w:val="TableContents"/>
              <w:bidi w:val="0"/>
              <w:spacing w:before="0" w:after="283"/>
              <w:jc w:val="center"/>
              <w:rPr/>
            </w:pPr>
            <w:r>
              <w:rPr/>
              <w:t>Panamax</w:t>
            </w:r>
          </w:p>
        </w:tc>
        <w:tc>
          <w:tcPr>
            <w:tcW w:w="120" w:type="dxa"/>
            <w:tcBorders/>
            <w:shd w:fill="CCEEFF" w:val="clear"/>
            <w:vAlign w:val="bottom"/>
          </w:tcPr>
          <w:p>
            <w:pPr>
              <w:pStyle w:val="TableContents"/>
              <w:bidi w:val="0"/>
              <w:spacing w:before="0" w:after="283"/>
              <w:jc w:val="left"/>
              <w:rPr/>
            </w:pPr>
            <w:r>
              <w:rPr/>
              <w:t>  </w:t>
            </w:r>
          </w:p>
        </w:tc>
        <w:tc>
          <w:tcPr>
            <w:tcW w:w="515" w:type="dxa"/>
            <w:tcBorders/>
            <w:shd w:fill="CCEEFF" w:val="clear"/>
          </w:tcPr>
          <w:p>
            <w:pPr>
              <w:pStyle w:val="TableContents"/>
              <w:bidi w:val="0"/>
              <w:spacing w:before="0" w:after="283"/>
              <w:jc w:val="center"/>
              <w:rPr/>
            </w:pPr>
            <w:r>
              <w:rPr/>
              <w:t>2015</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right"/>
              <w:rPr/>
            </w:pPr>
            <w:r>
              <w:rPr/>
              <w:t>80,994</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3" w:type="dxa"/>
            <w:tcBorders/>
            <w:shd w:fill="CCEEFF" w:val="clear"/>
          </w:tcPr>
          <w:p>
            <w:pPr>
              <w:pStyle w:val="TableContents"/>
              <w:bidi w:val="0"/>
              <w:spacing w:before="0" w:after="283"/>
              <w:jc w:val="left"/>
              <w:rPr/>
            </w:pPr>
            <w:r>
              <w:rPr/>
              <w:t>$</w:t>
            </w:r>
          </w:p>
        </w:tc>
        <w:tc>
          <w:tcPr>
            <w:tcW w:w="1087" w:type="dxa"/>
            <w:tcBorders/>
            <w:shd w:fill="CCEEFF" w:val="clear"/>
          </w:tcPr>
          <w:p>
            <w:pPr>
              <w:pStyle w:val="TableContents"/>
              <w:bidi w:val="0"/>
              <w:spacing w:before="0" w:after="283"/>
              <w:jc w:val="right"/>
              <w:rPr/>
            </w:pPr>
            <w:r>
              <w:rPr/>
              <w:t>19,000</w:t>
            </w:r>
          </w:p>
        </w:tc>
        <w:tc>
          <w:tcPr>
            <w:tcW w:w="47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0" w:type="dxa"/>
            <w:tcBorders/>
            <w:shd w:fill="CCEEFF" w:val="clear"/>
          </w:tcPr>
          <w:p>
            <w:pPr>
              <w:pStyle w:val="TableContents"/>
              <w:bidi w:val="0"/>
              <w:spacing w:before="0" w:after="283"/>
              <w:jc w:val="center"/>
              <w:rPr/>
            </w:pPr>
            <w:r>
              <w:rPr/>
              <w:t>No</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tcPr>
          <w:p>
            <w:pPr>
              <w:pStyle w:val="TableContents"/>
              <w:bidi w:val="0"/>
              <w:spacing w:before="0" w:after="283"/>
              <w:jc w:val="left"/>
              <w:rPr/>
            </w:pPr>
            <w:r>
              <w:rPr/>
              <w:t> </w:t>
            </w:r>
          </w:p>
        </w:tc>
        <w:tc>
          <w:tcPr>
            <w:tcW w:w="993" w:type="dxa"/>
            <w:tcBorders/>
            <w:shd w:fill="CCEEFF" w:val="clear"/>
          </w:tcPr>
          <w:p>
            <w:pPr>
              <w:pStyle w:val="TableContents"/>
              <w:bidi w:val="0"/>
              <w:spacing w:before="0" w:after="283"/>
              <w:jc w:val="right"/>
              <w:rPr/>
            </w:pPr>
            <w:r>
              <w:rPr/>
              <w:t>Apr-24</w:t>
            </w:r>
          </w:p>
        </w:tc>
        <w:tc>
          <w:tcPr>
            <w:tcW w:w="60" w:type="dxa"/>
            <w:tcBorders/>
            <w:shd w:fill="CCEEFF" w:val="clear"/>
          </w:tcPr>
          <w:p>
            <w:pPr>
              <w:pStyle w:val="TableContents"/>
              <w:bidi w:val="0"/>
              <w:spacing w:before="0" w:after="283"/>
              <w:jc w:val="left"/>
              <w:rPr/>
            </w:pPr>
            <w:r>
              <w:rPr/>
              <w:t> </w:t>
            </w:r>
          </w:p>
        </w:tc>
      </w:tr>
      <w:tr>
        <w:trPr/>
        <w:tc>
          <w:tcPr>
            <w:tcW w:w="1475" w:type="dxa"/>
            <w:tcBorders/>
          </w:tcPr>
          <w:p>
            <w:pPr>
              <w:pStyle w:val="TableContents"/>
              <w:bidi w:val="0"/>
              <w:spacing w:before="0" w:after="0"/>
              <w:jc w:val="left"/>
              <w:rPr>
                <w:rFonts w:ascii="Times New Roman" w:hAnsi="Times New Roman"/>
                <w:sz w:val="20"/>
              </w:rPr>
            </w:pPr>
            <w:r>
              <w:rPr>
                <w:rFonts w:ascii="Times New Roman" w:hAnsi="Times New Roman"/>
                <w:sz w:val="20"/>
              </w:rPr>
              <w:t>Navios Coral(19)</w:t>
            </w:r>
          </w:p>
        </w:tc>
        <w:tc>
          <w:tcPr>
            <w:tcW w:w="120" w:type="dxa"/>
            <w:tcBorders/>
            <w:vAlign w:val="bottom"/>
          </w:tcPr>
          <w:p>
            <w:pPr>
              <w:pStyle w:val="TableContents"/>
              <w:bidi w:val="0"/>
              <w:spacing w:before="0" w:after="283"/>
              <w:jc w:val="left"/>
              <w:rPr/>
            </w:pPr>
            <w:r>
              <w:rPr/>
              <w:t>  </w:t>
            </w:r>
          </w:p>
        </w:tc>
        <w:tc>
          <w:tcPr>
            <w:tcW w:w="1625" w:type="dxa"/>
            <w:tcBorders/>
          </w:tcPr>
          <w:p>
            <w:pPr>
              <w:pStyle w:val="TableContents"/>
              <w:bidi w:val="0"/>
              <w:spacing w:before="0" w:after="283"/>
              <w:jc w:val="center"/>
              <w:rPr/>
            </w:pPr>
            <w:r>
              <w:rPr/>
              <w:t>Panamax</w:t>
            </w:r>
          </w:p>
        </w:tc>
        <w:tc>
          <w:tcPr>
            <w:tcW w:w="120" w:type="dxa"/>
            <w:tcBorders/>
            <w:vAlign w:val="bottom"/>
          </w:tcPr>
          <w:p>
            <w:pPr>
              <w:pStyle w:val="TableContents"/>
              <w:bidi w:val="0"/>
              <w:spacing w:before="0" w:after="283"/>
              <w:jc w:val="left"/>
              <w:rPr/>
            </w:pPr>
            <w:r>
              <w:rPr/>
              <w:t>  </w:t>
            </w:r>
          </w:p>
        </w:tc>
        <w:tc>
          <w:tcPr>
            <w:tcW w:w="515" w:type="dxa"/>
            <w:tcBorders/>
          </w:tcPr>
          <w:p>
            <w:pPr>
              <w:pStyle w:val="TableContents"/>
              <w:bidi w:val="0"/>
              <w:spacing w:before="0" w:after="283"/>
              <w:jc w:val="center"/>
              <w:rPr/>
            </w:pPr>
            <w:r>
              <w:rPr/>
              <w:t>2016</w:t>
            </w:r>
          </w:p>
        </w:tc>
        <w:tc>
          <w:tcPr>
            <w:tcW w:w="12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84,904</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3" w:type="dxa"/>
            <w:tcBorders/>
          </w:tcPr>
          <w:p>
            <w:pPr>
              <w:pStyle w:val="TableContents"/>
              <w:bidi w:val="0"/>
              <w:spacing w:before="0" w:after="283"/>
              <w:jc w:val="left"/>
              <w:rPr/>
            </w:pPr>
            <w:r>
              <w:rPr/>
              <w:t>$</w:t>
            </w:r>
          </w:p>
        </w:tc>
        <w:tc>
          <w:tcPr>
            <w:tcW w:w="1087" w:type="dxa"/>
            <w:tcBorders/>
          </w:tcPr>
          <w:p>
            <w:pPr>
              <w:pStyle w:val="TableContents"/>
              <w:bidi w:val="0"/>
              <w:spacing w:before="0" w:after="283"/>
              <w:jc w:val="right"/>
              <w:rPr/>
            </w:pPr>
            <w:r>
              <w:rPr/>
              <w:t>19,736</w:t>
            </w:r>
          </w:p>
        </w:tc>
        <w:tc>
          <w:tcPr>
            <w:tcW w:w="47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0" w:type="dxa"/>
            <w:tcBorders/>
          </w:tcPr>
          <w:p>
            <w:pPr>
              <w:pStyle w:val="TableContents"/>
              <w:bidi w:val="0"/>
              <w:spacing w:before="0" w:after="283"/>
              <w:jc w:val="center"/>
              <w:rPr/>
            </w:pPr>
            <w:r>
              <w:rPr/>
              <w:t>No</w:t>
            </w:r>
          </w:p>
        </w:tc>
        <w:tc>
          <w:tcPr>
            <w:tcW w:w="120"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Jun-23</w:t>
            </w:r>
          </w:p>
        </w:tc>
        <w:tc>
          <w:tcPr>
            <w:tcW w:w="60" w:type="dxa"/>
            <w:tcBorders/>
          </w:tcPr>
          <w:p>
            <w:pPr>
              <w:pStyle w:val="TableContents"/>
              <w:bidi w:val="0"/>
              <w:spacing w:before="0" w:after="283"/>
              <w:jc w:val="left"/>
              <w:rPr/>
            </w:pPr>
            <w:r>
              <w:rPr/>
              <w:t> </w:t>
            </w:r>
          </w:p>
        </w:tc>
      </w:tr>
      <w:tr>
        <w:trPr/>
        <w:tc>
          <w:tcPr>
            <w:tcW w:w="147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62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1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sz w:val="4"/>
                <w:szCs w:val="4"/>
              </w:rPr>
            </w:pPr>
            <w:r>
              <w:rPr>
                <w:sz w:val="4"/>
                <w:szCs w:val="4"/>
              </w:rPr>
            </w:r>
          </w:p>
        </w:tc>
        <w:tc>
          <w:tcPr>
            <w:tcW w:w="8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3" w:type="dxa"/>
            <w:tcBorders/>
            <w:shd w:fill="CCEEFF" w:val="clear"/>
          </w:tcPr>
          <w:p>
            <w:pPr>
              <w:pStyle w:val="TableContents"/>
              <w:bidi w:val="0"/>
              <w:spacing w:before="0" w:after="283"/>
              <w:jc w:val="left"/>
              <w:rPr/>
            </w:pPr>
            <w:r>
              <w:rPr/>
              <w:t> </w:t>
            </w:r>
          </w:p>
        </w:tc>
        <w:tc>
          <w:tcPr>
            <w:tcW w:w="1087" w:type="dxa"/>
            <w:tcBorders/>
            <w:shd w:fill="CCEEFF" w:val="clear"/>
          </w:tcPr>
          <w:p>
            <w:pPr>
              <w:pStyle w:val="TableContents"/>
              <w:bidi w:val="0"/>
              <w:spacing w:before="0" w:after="283"/>
              <w:jc w:val="right"/>
              <w:rPr/>
            </w:pPr>
            <w:r>
              <w:rPr/>
              <w:t></w:t>
            </w:r>
          </w:p>
        </w:tc>
        <w:tc>
          <w:tcPr>
            <w:tcW w:w="47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0" w:type="dxa"/>
            <w:tcBorders/>
            <w:shd w:fill="CCEEFF" w:val="clear"/>
          </w:tcPr>
          <w:p>
            <w:pPr>
              <w:pStyle w:val="TableContents"/>
              <w:bidi w:val="0"/>
              <w:spacing w:before="0" w:after="283"/>
              <w:jc w:val="center"/>
              <w:rPr/>
            </w:pPr>
            <w:r>
              <w:rPr/>
              <w:t>108.0% average BPI 82</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tcPr>
          <w:p>
            <w:pPr>
              <w:pStyle w:val="TableContents"/>
              <w:bidi w:val="0"/>
              <w:spacing w:before="0" w:after="283"/>
              <w:jc w:val="left"/>
              <w:rPr/>
            </w:pPr>
            <w:r>
              <w:rPr/>
              <w:t> </w:t>
            </w:r>
          </w:p>
        </w:tc>
        <w:tc>
          <w:tcPr>
            <w:tcW w:w="993" w:type="dxa"/>
            <w:tcBorders/>
            <w:shd w:fill="CCEEFF" w:val="clear"/>
          </w:tcPr>
          <w:p>
            <w:pPr>
              <w:pStyle w:val="TableContents"/>
              <w:bidi w:val="0"/>
              <w:spacing w:before="0" w:after="283"/>
              <w:jc w:val="right"/>
              <w:rPr/>
            </w:pPr>
            <w:r>
              <w:rPr/>
              <w:t>Feb-24</w:t>
            </w:r>
          </w:p>
        </w:tc>
        <w:tc>
          <w:tcPr>
            <w:tcW w:w="60" w:type="dxa"/>
            <w:tcBorders/>
            <w:shd w:fill="CCEEFF" w:val="clear"/>
          </w:tcPr>
          <w:p>
            <w:pPr>
              <w:pStyle w:val="TableContents"/>
              <w:bidi w:val="0"/>
              <w:spacing w:before="0" w:after="283"/>
              <w:jc w:val="left"/>
              <w:rPr/>
            </w:pPr>
            <w:r>
              <w:rPr/>
              <w:t> </w:t>
            </w:r>
          </w:p>
        </w:tc>
      </w:tr>
      <w:tr>
        <w:trPr/>
        <w:tc>
          <w:tcPr>
            <w:tcW w:w="1475" w:type="dxa"/>
            <w:tcBorders/>
          </w:tcPr>
          <w:p>
            <w:pPr>
              <w:pStyle w:val="TableContents"/>
              <w:bidi w:val="0"/>
              <w:spacing w:before="0" w:after="0"/>
              <w:jc w:val="left"/>
              <w:rPr>
                <w:rFonts w:ascii="Times New Roman" w:hAnsi="Times New Roman"/>
                <w:sz w:val="20"/>
              </w:rPr>
            </w:pPr>
            <w:r>
              <w:rPr>
                <w:rFonts w:ascii="Times New Roman" w:hAnsi="Times New Roman"/>
                <w:sz w:val="20"/>
              </w:rPr>
              <w:t>Navios Citrine(19)</w:t>
            </w:r>
          </w:p>
        </w:tc>
        <w:tc>
          <w:tcPr>
            <w:tcW w:w="120" w:type="dxa"/>
            <w:tcBorders/>
            <w:vAlign w:val="bottom"/>
          </w:tcPr>
          <w:p>
            <w:pPr>
              <w:pStyle w:val="TableContents"/>
              <w:bidi w:val="0"/>
              <w:spacing w:before="0" w:after="283"/>
              <w:jc w:val="left"/>
              <w:rPr/>
            </w:pPr>
            <w:r>
              <w:rPr/>
              <w:t>  </w:t>
            </w:r>
          </w:p>
        </w:tc>
        <w:tc>
          <w:tcPr>
            <w:tcW w:w="1625" w:type="dxa"/>
            <w:tcBorders/>
          </w:tcPr>
          <w:p>
            <w:pPr>
              <w:pStyle w:val="TableContents"/>
              <w:bidi w:val="0"/>
              <w:spacing w:before="0" w:after="283"/>
              <w:jc w:val="center"/>
              <w:rPr/>
            </w:pPr>
            <w:r>
              <w:rPr/>
              <w:t>Panamax</w:t>
            </w:r>
          </w:p>
        </w:tc>
        <w:tc>
          <w:tcPr>
            <w:tcW w:w="120" w:type="dxa"/>
            <w:tcBorders/>
            <w:vAlign w:val="bottom"/>
          </w:tcPr>
          <w:p>
            <w:pPr>
              <w:pStyle w:val="TableContents"/>
              <w:bidi w:val="0"/>
              <w:spacing w:before="0" w:after="283"/>
              <w:jc w:val="left"/>
              <w:rPr/>
            </w:pPr>
            <w:r>
              <w:rPr/>
              <w:t>  </w:t>
            </w:r>
          </w:p>
        </w:tc>
        <w:tc>
          <w:tcPr>
            <w:tcW w:w="515" w:type="dxa"/>
            <w:tcBorders/>
          </w:tcPr>
          <w:p>
            <w:pPr>
              <w:pStyle w:val="TableContents"/>
              <w:bidi w:val="0"/>
              <w:spacing w:before="0" w:after="283"/>
              <w:jc w:val="center"/>
              <w:rPr/>
            </w:pPr>
            <w:r>
              <w:rPr/>
              <w:t>2017</w:t>
            </w:r>
          </w:p>
        </w:tc>
        <w:tc>
          <w:tcPr>
            <w:tcW w:w="12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81,626</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3" w:type="dxa"/>
            <w:tcBorders/>
          </w:tcPr>
          <w:p>
            <w:pPr>
              <w:pStyle w:val="TableContents"/>
              <w:bidi w:val="0"/>
              <w:spacing w:before="0" w:after="283"/>
              <w:jc w:val="left"/>
              <w:rPr/>
            </w:pPr>
            <w:r>
              <w:rPr/>
              <w:t> </w:t>
            </w:r>
          </w:p>
        </w:tc>
        <w:tc>
          <w:tcPr>
            <w:tcW w:w="1087" w:type="dxa"/>
            <w:tcBorders/>
          </w:tcPr>
          <w:p>
            <w:pPr>
              <w:pStyle w:val="TableContents"/>
              <w:bidi w:val="0"/>
              <w:spacing w:before="0" w:after="283"/>
              <w:jc w:val="right"/>
              <w:rPr/>
            </w:pPr>
            <w:r>
              <w:rPr/>
              <w:t></w:t>
            </w:r>
          </w:p>
        </w:tc>
        <w:tc>
          <w:tcPr>
            <w:tcW w:w="47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0" w:type="dxa"/>
            <w:tcBorders/>
          </w:tcPr>
          <w:p>
            <w:pPr>
              <w:pStyle w:val="TableContents"/>
              <w:bidi w:val="0"/>
              <w:spacing w:before="0" w:after="283"/>
              <w:jc w:val="center"/>
              <w:rPr/>
            </w:pPr>
            <w:r>
              <w:rPr/>
              <w:t>122.0% average BPI 4TC</w:t>
            </w:r>
          </w:p>
        </w:tc>
        <w:tc>
          <w:tcPr>
            <w:tcW w:w="120"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Jun-23</w:t>
            </w:r>
          </w:p>
        </w:tc>
        <w:tc>
          <w:tcPr>
            <w:tcW w:w="60" w:type="dxa"/>
            <w:tcBorders/>
          </w:tcPr>
          <w:p>
            <w:pPr>
              <w:pStyle w:val="TableContents"/>
              <w:bidi w:val="0"/>
              <w:spacing w:before="0" w:after="283"/>
              <w:jc w:val="left"/>
              <w:rPr/>
            </w:pPr>
            <w:r>
              <w:rPr/>
              <w:t> </w:t>
            </w:r>
          </w:p>
        </w:tc>
      </w:tr>
      <w:tr>
        <w:trPr/>
        <w:tc>
          <w:tcPr>
            <w:tcW w:w="1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Dolphin(19)</w:t>
            </w:r>
          </w:p>
        </w:tc>
        <w:tc>
          <w:tcPr>
            <w:tcW w:w="120" w:type="dxa"/>
            <w:tcBorders/>
            <w:shd w:fill="CCEEFF" w:val="clear"/>
            <w:vAlign w:val="bottom"/>
          </w:tcPr>
          <w:p>
            <w:pPr>
              <w:pStyle w:val="TableContents"/>
              <w:bidi w:val="0"/>
              <w:spacing w:before="0" w:after="283"/>
              <w:jc w:val="left"/>
              <w:rPr/>
            </w:pPr>
            <w:r>
              <w:rPr/>
              <w:t>  </w:t>
            </w:r>
          </w:p>
        </w:tc>
        <w:tc>
          <w:tcPr>
            <w:tcW w:w="1625" w:type="dxa"/>
            <w:tcBorders/>
            <w:shd w:fill="CCEEFF" w:val="clear"/>
          </w:tcPr>
          <w:p>
            <w:pPr>
              <w:pStyle w:val="TableContents"/>
              <w:bidi w:val="0"/>
              <w:spacing w:before="0" w:after="283"/>
              <w:jc w:val="center"/>
              <w:rPr/>
            </w:pPr>
            <w:r>
              <w:rPr/>
              <w:t>Panamax</w:t>
            </w:r>
          </w:p>
        </w:tc>
        <w:tc>
          <w:tcPr>
            <w:tcW w:w="120" w:type="dxa"/>
            <w:tcBorders/>
            <w:shd w:fill="CCEEFF" w:val="clear"/>
            <w:vAlign w:val="bottom"/>
          </w:tcPr>
          <w:p>
            <w:pPr>
              <w:pStyle w:val="TableContents"/>
              <w:bidi w:val="0"/>
              <w:spacing w:before="0" w:after="283"/>
              <w:jc w:val="left"/>
              <w:rPr/>
            </w:pPr>
            <w:r>
              <w:rPr/>
              <w:t>  </w:t>
            </w:r>
          </w:p>
        </w:tc>
        <w:tc>
          <w:tcPr>
            <w:tcW w:w="515" w:type="dxa"/>
            <w:tcBorders/>
            <w:shd w:fill="CCEEFF" w:val="clear"/>
          </w:tcPr>
          <w:p>
            <w:pPr>
              <w:pStyle w:val="TableContents"/>
              <w:bidi w:val="0"/>
              <w:spacing w:before="0" w:after="283"/>
              <w:jc w:val="center"/>
              <w:rPr/>
            </w:pPr>
            <w:r>
              <w:rPr/>
              <w:t>2017</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right"/>
              <w:rPr/>
            </w:pPr>
            <w:r>
              <w:rPr/>
              <w:t>81,630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3" w:type="dxa"/>
            <w:tcBorders/>
            <w:shd w:fill="CCEEFF" w:val="clear"/>
          </w:tcPr>
          <w:p>
            <w:pPr>
              <w:pStyle w:val="TableContents"/>
              <w:bidi w:val="0"/>
              <w:spacing w:before="0" w:after="283"/>
              <w:jc w:val="left"/>
              <w:rPr/>
            </w:pPr>
            <w:r>
              <w:rPr/>
              <w:t>$</w:t>
            </w:r>
          </w:p>
        </w:tc>
        <w:tc>
          <w:tcPr>
            <w:tcW w:w="1087" w:type="dxa"/>
            <w:tcBorders/>
            <w:shd w:fill="CCEEFF" w:val="clear"/>
          </w:tcPr>
          <w:p>
            <w:pPr>
              <w:pStyle w:val="TableContents"/>
              <w:bidi w:val="0"/>
              <w:spacing w:before="0" w:after="283"/>
              <w:jc w:val="right"/>
              <w:rPr/>
            </w:pPr>
            <w:r>
              <w:rPr/>
              <w:t>14,013</w:t>
            </w:r>
          </w:p>
        </w:tc>
        <w:tc>
          <w:tcPr>
            <w:tcW w:w="470" w:type="dxa"/>
            <w:tcBorders/>
            <w:shd w:fill="CCEEFF" w:val="clear"/>
          </w:tcPr>
          <w:p>
            <w:pPr>
              <w:pStyle w:val="TableContents"/>
              <w:bidi w:val="0"/>
              <w:spacing w:before="0" w:after="283"/>
              <w:jc w:val="left"/>
              <w:rPr/>
            </w:pPr>
            <w:r>
              <w:rPr/>
              <w:t>(20) </w:t>
            </w:r>
          </w:p>
        </w:tc>
        <w:tc>
          <w:tcPr>
            <w:tcW w:w="60" w:type="dxa"/>
            <w:tcBorders/>
            <w:shd w:fill="CCEEFF" w:val="clear"/>
            <w:vAlign w:val="bottom"/>
          </w:tcPr>
          <w:p>
            <w:pPr>
              <w:pStyle w:val="TableContents"/>
              <w:bidi w:val="0"/>
              <w:spacing w:before="0" w:after="283"/>
              <w:jc w:val="left"/>
              <w:rPr/>
            </w:pPr>
            <w:r>
              <w:rPr/>
              <w:t> </w:t>
            </w:r>
          </w:p>
        </w:tc>
        <w:tc>
          <w:tcPr>
            <w:tcW w:w="2900" w:type="dxa"/>
            <w:tcBorders/>
            <w:shd w:fill="CCEEFF" w:val="clear"/>
          </w:tcPr>
          <w:p>
            <w:pPr>
              <w:pStyle w:val="TableContents"/>
              <w:bidi w:val="0"/>
              <w:spacing w:before="0" w:after="283"/>
              <w:jc w:val="center"/>
              <w:rPr/>
            </w:pPr>
            <w:r>
              <w:rPr/>
              <w:t>No</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tcPr>
          <w:p>
            <w:pPr>
              <w:pStyle w:val="TableContents"/>
              <w:bidi w:val="0"/>
              <w:spacing w:before="0" w:after="283"/>
              <w:jc w:val="left"/>
              <w:rPr/>
            </w:pPr>
            <w:r>
              <w:rPr/>
              <w:t> </w:t>
            </w:r>
          </w:p>
        </w:tc>
        <w:tc>
          <w:tcPr>
            <w:tcW w:w="993" w:type="dxa"/>
            <w:tcBorders/>
            <w:shd w:fill="CCEEFF" w:val="clear"/>
          </w:tcPr>
          <w:p>
            <w:pPr>
              <w:pStyle w:val="TableContents"/>
              <w:bidi w:val="0"/>
              <w:spacing w:before="0" w:after="283"/>
              <w:jc w:val="right"/>
              <w:rPr/>
            </w:pPr>
            <w:r>
              <w:rPr/>
              <w:t>Dec-24</w:t>
            </w:r>
          </w:p>
        </w:tc>
        <w:tc>
          <w:tcPr>
            <w:tcW w:w="60" w:type="dxa"/>
            <w:tcBorders/>
            <w:shd w:fill="CCEEFF" w:val="clear"/>
          </w:tcPr>
          <w:p>
            <w:pPr>
              <w:pStyle w:val="TableContents"/>
              <w:bidi w:val="0"/>
              <w:spacing w:before="0" w:after="283"/>
              <w:jc w:val="left"/>
              <w:rPr/>
            </w:pPr>
            <w:r>
              <w:rPr/>
              <w:t> </w:t>
            </w:r>
          </w:p>
        </w:tc>
      </w:tr>
      <w:tr>
        <w:trPr/>
        <w:tc>
          <w:tcPr>
            <w:tcW w:w="1475" w:type="dxa"/>
            <w:tcBorders/>
          </w:tcPr>
          <w:p>
            <w:pPr>
              <w:pStyle w:val="TableContents"/>
              <w:bidi w:val="0"/>
              <w:spacing w:before="0" w:after="0"/>
              <w:jc w:val="left"/>
              <w:rPr>
                <w:rFonts w:ascii="Times New Roman" w:hAnsi="Times New Roman"/>
                <w:sz w:val="20"/>
              </w:rPr>
            </w:pPr>
            <w:r>
              <w:rPr>
                <w:rFonts w:ascii="Times New Roman" w:hAnsi="Times New Roman"/>
                <w:sz w:val="20"/>
              </w:rPr>
              <w:t>Navios Gemini(21)</w:t>
            </w:r>
          </w:p>
        </w:tc>
        <w:tc>
          <w:tcPr>
            <w:tcW w:w="120" w:type="dxa"/>
            <w:tcBorders/>
            <w:vAlign w:val="bottom"/>
          </w:tcPr>
          <w:p>
            <w:pPr>
              <w:pStyle w:val="TableContents"/>
              <w:bidi w:val="0"/>
              <w:spacing w:before="0" w:after="283"/>
              <w:jc w:val="left"/>
              <w:rPr/>
            </w:pPr>
            <w:r>
              <w:rPr/>
              <w:t>  </w:t>
            </w:r>
          </w:p>
        </w:tc>
        <w:tc>
          <w:tcPr>
            <w:tcW w:w="1625" w:type="dxa"/>
            <w:tcBorders/>
          </w:tcPr>
          <w:p>
            <w:pPr>
              <w:pStyle w:val="TableContents"/>
              <w:bidi w:val="0"/>
              <w:spacing w:before="0" w:after="283"/>
              <w:jc w:val="center"/>
              <w:rPr/>
            </w:pPr>
            <w:r>
              <w:rPr/>
              <w:t>Panamax</w:t>
            </w:r>
          </w:p>
        </w:tc>
        <w:tc>
          <w:tcPr>
            <w:tcW w:w="120" w:type="dxa"/>
            <w:tcBorders/>
            <w:vAlign w:val="bottom"/>
          </w:tcPr>
          <w:p>
            <w:pPr>
              <w:pStyle w:val="TableContents"/>
              <w:bidi w:val="0"/>
              <w:spacing w:before="0" w:after="283"/>
              <w:jc w:val="left"/>
              <w:rPr/>
            </w:pPr>
            <w:r>
              <w:rPr/>
              <w:t>  </w:t>
            </w:r>
          </w:p>
        </w:tc>
        <w:tc>
          <w:tcPr>
            <w:tcW w:w="515" w:type="dxa"/>
            <w:tcBorders/>
          </w:tcPr>
          <w:p>
            <w:pPr>
              <w:pStyle w:val="TableContents"/>
              <w:bidi w:val="0"/>
              <w:spacing w:before="0" w:after="283"/>
              <w:jc w:val="center"/>
              <w:rPr/>
            </w:pPr>
            <w:r>
              <w:rPr/>
              <w:t>2018</w:t>
            </w:r>
          </w:p>
        </w:tc>
        <w:tc>
          <w:tcPr>
            <w:tcW w:w="12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81,704</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3" w:type="dxa"/>
            <w:tcBorders/>
          </w:tcPr>
          <w:p>
            <w:pPr>
              <w:pStyle w:val="TableContents"/>
              <w:bidi w:val="0"/>
              <w:spacing w:before="0" w:after="283"/>
              <w:jc w:val="left"/>
              <w:rPr/>
            </w:pPr>
            <w:r>
              <w:rPr/>
              <w:t>$</w:t>
            </w:r>
          </w:p>
        </w:tc>
        <w:tc>
          <w:tcPr>
            <w:tcW w:w="1087" w:type="dxa"/>
            <w:tcBorders/>
          </w:tcPr>
          <w:p>
            <w:pPr>
              <w:pStyle w:val="TableContents"/>
              <w:bidi w:val="0"/>
              <w:spacing w:before="0" w:after="283"/>
              <w:jc w:val="right"/>
              <w:rPr/>
            </w:pPr>
            <w:r>
              <w:rPr/>
              <w:t>14,919</w:t>
            </w:r>
          </w:p>
        </w:tc>
        <w:tc>
          <w:tcPr>
            <w:tcW w:w="47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0" w:type="dxa"/>
            <w:tcBorders/>
          </w:tcPr>
          <w:p>
            <w:pPr>
              <w:pStyle w:val="TableContents"/>
              <w:bidi w:val="0"/>
              <w:spacing w:before="0" w:after="283"/>
              <w:jc w:val="center"/>
              <w:rPr/>
            </w:pPr>
            <w:r>
              <w:rPr/>
              <w:t>No</w:t>
            </w:r>
          </w:p>
        </w:tc>
        <w:tc>
          <w:tcPr>
            <w:tcW w:w="120"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pPr>
            <w:r>
              <w:rPr/>
              <w:t> </w:t>
            </w:r>
          </w:p>
        </w:tc>
        <w:tc>
          <w:tcPr>
            <w:tcW w:w="993" w:type="dxa"/>
            <w:tcBorders/>
          </w:tcPr>
          <w:p>
            <w:pPr>
              <w:pStyle w:val="TableContents"/>
              <w:bidi w:val="0"/>
              <w:spacing w:before="0" w:after="283"/>
              <w:jc w:val="right"/>
              <w:rPr/>
            </w:pPr>
            <w:r>
              <w:rPr/>
              <w:t>Oct-23</w:t>
            </w:r>
          </w:p>
        </w:tc>
        <w:tc>
          <w:tcPr>
            <w:tcW w:w="60" w:type="dxa"/>
            <w:tcBorders/>
          </w:tcPr>
          <w:p>
            <w:pPr>
              <w:pStyle w:val="TableContents"/>
              <w:bidi w:val="0"/>
              <w:spacing w:before="0" w:after="283"/>
              <w:jc w:val="left"/>
              <w:rPr/>
            </w:pPr>
            <w:r>
              <w:rPr/>
              <w:t> </w:t>
            </w:r>
          </w:p>
        </w:tc>
      </w:tr>
      <w:tr>
        <w:trPr/>
        <w:tc>
          <w:tcPr>
            <w:tcW w:w="1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Navios Horizon I(21)</w:t>
            </w:r>
          </w:p>
        </w:tc>
        <w:tc>
          <w:tcPr>
            <w:tcW w:w="120" w:type="dxa"/>
            <w:tcBorders/>
            <w:shd w:fill="CCEEFF" w:val="clear"/>
            <w:vAlign w:val="bottom"/>
          </w:tcPr>
          <w:p>
            <w:pPr>
              <w:pStyle w:val="TableContents"/>
              <w:bidi w:val="0"/>
              <w:spacing w:before="0" w:after="283"/>
              <w:jc w:val="left"/>
              <w:rPr/>
            </w:pPr>
            <w:r>
              <w:rPr/>
              <w:t>  </w:t>
            </w:r>
          </w:p>
        </w:tc>
        <w:tc>
          <w:tcPr>
            <w:tcW w:w="1625" w:type="dxa"/>
            <w:tcBorders/>
            <w:shd w:fill="CCEEFF" w:val="clear"/>
          </w:tcPr>
          <w:p>
            <w:pPr>
              <w:pStyle w:val="TableContents"/>
              <w:bidi w:val="0"/>
              <w:spacing w:before="0" w:after="283"/>
              <w:jc w:val="center"/>
              <w:rPr/>
            </w:pPr>
            <w:r>
              <w:rPr/>
              <w:t>Panamax</w:t>
            </w:r>
          </w:p>
        </w:tc>
        <w:tc>
          <w:tcPr>
            <w:tcW w:w="120" w:type="dxa"/>
            <w:tcBorders/>
            <w:shd w:fill="CCEEFF" w:val="clear"/>
            <w:vAlign w:val="bottom"/>
          </w:tcPr>
          <w:p>
            <w:pPr>
              <w:pStyle w:val="TableContents"/>
              <w:bidi w:val="0"/>
              <w:spacing w:before="0" w:after="283"/>
              <w:jc w:val="left"/>
              <w:rPr/>
            </w:pPr>
            <w:r>
              <w:rPr/>
              <w:t>  </w:t>
            </w:r>
          </w:p>
        </w:tc>
        <w:tc>
          <w:tcPr>
            <w:tcW w:w="515" w:type="dxa"/>
            <w:tcBorders/>
            <w:shd w:fill="CCEEFF" w:val="clear"/>
          </w:tcPr>
          <w:p>
            <w:pPr>
              <w:pStyle w:val="TableContents"/>
              <w:bidi w:val="0"/>
              <w:spacing w:before="0" w:after="283"/>
              <w:jc w:val="center"/>
              <w:rPr/>
            </w:pPr>
            <w:r>
              <w:rPr/>
              <w:t>2019</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860" w:type="dxa"/>
            <w:tcBorders/>
            <w:shd w:fill="CCEEFF" w:val="clear"/>
          </w:tcPr>
          <w:p>
            <w:pPr>
              <w:pStyle w:val="TableContents"/>
              <w:bidi w:val="0"/>
              <w:spacing w:before="0" w:after="283"/>
              <w:jc w:val="right"/>
              <w:rPr/>
            </w:pPr>
            <w:r>
              <w:rPr/>
              <w:t>81,692</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3" w:type="dxa"/>
            <w:tcBorders/>
            <w:shd w:fill="CCEEFF" w:val="clear"/>
          </w:tcPr>
          <w:p>
            <w:pPr>
              <w:pStyle w:val="TableContents"/>
              <w:bidi w:val="0"/>
              <w:jc w:val="left"/>
              <w:rPr/>
            </w:pPr>
            <w:r>
              <w:rPr/>
              <w:t>$</w:t>
            </w:r>
          </w:p>
          <w:p>
            <w:pPr>
              <w:pStyle w:val="TableContents"/>
              <w:bidi w:val="0"/>
              <w:spacing w:before="0" w:after="20"/>
              <w:jc w:val="left"/>
              <w:rPr/>
            </w:pPr>
            <w:r>
              <w:rPr/>
              <w:t> </w:t>
            </w:r>
          </w:p>
        </w:tc>
        <w:tc>
          <w:tcPr>
            <w:tcW w:w="1087" w:type="dxa"/>
            <w:tcBorders/>
            <w:shd w:fill="CCEEFF" w:val="clear"/>
          </w:tcPr>
          <w:p>
            <w:pPr>
              <w:pStyle w:val="TableContents"/>
              <w:bidi w:val="0"/>
              <w:jc w:val="right"/>
              <w:rPr/>
            </w:pPr>
            <w:r>
              <w:rPr/>
              <w:t>18,530</w:t>
            </w:r>
          </w:p>
          <w:p>
            <w:pPr>
              <w:pStyle w:val="TableContents"/>
              <w:bidi w:val="0"/>
              <w:spacing w:before="0" w:after="20"/>
              <w:jc w:val="right"/>
              <w:rPr>
                <w:rFonts w:ascii="Times New Roman" w:hAnsi="Times New Roman"/>
                <w:sz w:val="20"/>
              </w:rPr>
            </w:pPr>
            <w:r>
              <w:rPr>
                <w:rFonts w:ascii="Times New Roman" w:hAnsi="Times New Roman"/>
                <w:sz w:val="20"/>
              </w:rPr>
              <w:t></w:t>
            </w:r>
          </w:p>
        </w:tc>
        <w:tc>
          <w:tcPr>
            <w:tcW w:w="470" w:type="dxa"/>
            <w:tcBorders/>
            <w:shd w:fill="CCEEFF" w:val="clea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0" w:type="dxa"/>
            <w:tcBorders/>
            <w:shd w:fill="CCEEFF" w:val="clear"/>
          </w:tcPr>
          <w:p>
            <w:pPr>
              <w:pStyle w:val="TableContents"/>
              <w:bidi w:val="0"/>
              <w:jc w:val="center"/>
              <w:rPr/>
            </w:pPr>
            <w:r>
              <w:rPr/>
              <w:t>No</w:t>
            </w:r>
          </w:p>
          <w:p>
            <w:pPr>
              <w:pStyle w:val="TableContents"/>
              <w:bidi w:val="0"/>
              <w:spacing w:before="0" w:after="20"/>
              <w:jc w:val="center"/>
              <w:rPr>
                <w:rFonts w:ascii="Times New Roman" w:hAnsi="Times New Roman"/>
                <w:sz w:val="20"/>
              </w:rPr>
            </w:pPr>
            <w:r>
              <w:rPr>
                <w:rFonts w:ascii="Times New Roman" w:hAnsi="Times New Roman"/>
                <w:sz w:val="20"/>
              </w:rPr>
              <w:t>108.5% average BPI 82</w:t>
            </w:r>
          </w:p>
        </w:tc>
        <w:tc>
          <w:tcPr>
            <w:tcW w:w="120" w:type="dxa"/>
            <w:tcBorders/>
            <w:shd w:fill="CCEEFF" w:val="clear"/>
            <w:vAlign w:val="bottom"/>
          </w:tcPr>
          <w:p>
            <w:pPr>
              <w:pStyle w:val="TableContents"/>
              <w:bidi w:val="0"/>
              <w:spacing w:before="0" w:after="283"/>
              <w:jc w:val="left"/>
              <w:rPr/>
            </w:pPr>
            <w:r>
              <w:rPr/>
              <w:t>  </w:t>
            </w:r>
          </w:p>
        </w:tc>
        <w:tc>
          <w:tcPr>
            <w:tcW w:w="122" w:type="dxa"/>
            <w:tcBorders/>
            <w:shd w:fill="CCEEFF" w:val="clear"/>
          </w:tcPr>
          <w:p>
            <w:pPr>
              <w:pStyle w:val="TableContents"/>
              <w:bidi w:val="0"/>
              <w:spacing w:before="0" w:after="283"/>
              <w:jc w:val="left"/>
              <w:rPr/>
            </w:pPr>
            <w:r>
              <w:rPr/>
              <w:t> </w:t>
            </w:r>
          </w:p>
        </w:tc>
        <w:tc>
          <w:tcPr>
            <w:tcW w:w="993" w:type="dxa"/>
            <w:tcBorders/>
            <w:shd w:fill="CCEEFF" w:val="clear"/>
          </w:tcPr>
          <w:p>
            <w:pPr>
              <w:pStyle w:val="TableContents"/>
              <w:bidi w:val="0"/>
              <w:jc w:val="right"/>
              <w:rPr/>
            </w:pPr>
            <w:r>
              <w:rPr/>
              <w:t>Jun-23</w:t>
            </w:r>
          </w:p>
          <w:p>
            <w:pPr>
              <w:pStyle w:val="TableContents"/>
              <w:bidi w:val="0"/>
              <w:spacing w:before="0" w:after="20"/>
              <w:jc w:val="right"/>
              <w:rPr>
                <w:rFonts w:ascii="Times New Roman" w:hAnsi="Times New Roman"/>
                <w:sz w:val="20"/>
              </w:rPr>
            </w:pPr>
            <w:r>
              <w:rPr>
                <w:rFonts w:ascii="Times New Roman" w:hAnsi="Times New Roman"/>
                <w:sz w:val="20"/>
              </w:rPr>
              <w:t>Oct-23</w:t>
            </w:r>
          </w:p>
        </w:tc>
        <w:tc>
          <w:tcPr>
            <w:tcW w:w="60" w:type="dxa"/>
            <w:tcBorders/>
            <w:shd w:fill="CCEEFF" w:val="clear"/>
          </w:tcPr>
          <w:p>
            <w:pPr>
              <w:pStyle w:val="TableContents"/>
              <w:bidi w:val="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2565"/>
        <w:gridCol w:w="170"/>
        <w:gridCol w:w="912"/>
        <w:gridCol w:w="170"/>
        <w:gridCol w:w="912"/>
        <w:gridCol w:w="170"/>
        <w:gridCol w:w="65"/>
        <w:gridCol w:w="874"/>
        <w:gridCol w:w="60"/>
        <w:gridCol w:w="170"/>
        <w:gridCol w:w="223"/>
        <w:gridCol w:w="1126"/>
        <w:gridCol w:w="59"/>
        <w:gridCol w:w="170"/>
        <w:gridCol w:w="1232"/>
        <w:gridCol w:w="170"/>
        <w:gridCol w:w="1157"/>
      </w:tblGrid>
      <w:tr>
        <w:trPr/>
        <w:tc>
          <w:tcPr>
            <w:tcW w:w="2565"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25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Bareboat</w:t>
              <w:br/>
              <w:t>Chartered-in Drybulk</w:t>
              <w:br/>
              <w:t>Vessels to be Delivered</w:t>
            </w:r>
          </w:p>
        </w:tc>
        <w:tc>
          <w:tcPr>
            <w:tcW w:w="170" w:type="dxa"/>
            <w:tcBorders/>
            <w:vAlign w:val="bottom"/>
          </w:tcPr>
          <w:p>
            <w:pPr>
              <w:pStyle w:val="TableContents"/>
              <w:bidi w:val="0"/>
              <w:spacing w:before="0" w:after="283"/>
              <w:jc w:val="left"/>
              <w:rPr/>
            </w:pPr>
            <w:r>
              <w:rPr/>
              <w:t>  </w:t>
            </w:r>
          </w:p>
        </w:tc>
        <w:tc>
          <w:tcPr>
            <w:tcW w:w="912" w:type="dxa"/>
            <w:tcBorders>
              <w:bottom w:val="single" w:sz="8" w:space="0" w:color="000000"/>
            </w:tcBorders>
            <w:tcMar>
              <w:bottom w:w="28" w:type="dxa"/>
            </w:tcMar>
            <w:vAlign w:val="bottom"/>
          </w:tcPr>
          <w:p>
            <w:pPr>
              <w:pStyle w:val="TableContents"/>
              <w:bidi w:val="0"/>
              <w:spacing w:before="0" w:after="283"/>
              <w:jc w:val="center"/>
              <w:rPr>
                <w:b/>
              </w:rPr>
            </w:pPr>
            <w:r>
              <w:rPr>
                <w:b/>
              </w:rPr>
              <w:t>Type</w:t>
            </w:r>
          </w:p>
        </w:tc>
        <w:tc>
          <w:tcPr>
            <w:tcW w:w="170" w:type="dxa"/>
            <w:tcBorders/>
            <w:vAlign w:val="bottom"/>
          </w:tcPr>
          <w:p>
            <w:pPr>
              <w:pStyle w:val="TableContents"/>
              <w:bidi w:val="0"/>
              <w:spacing w:before="0" w:after="283"/>
              <w:jc w:val="left"/>
              <w:rPr/>
            </w:pPr>
            <w:r>
              <w:rPr/>
              <w:t>  </w:t>
            </w:r>
          </w:p>
        </w:tc>
        <w:tc>
          <w:tcPr>
            <w:tcW w:w="912" w:type="dxa"/>
            <w:tcBorders>
              <w:bottom w:val="single" w:sz="8" w:space="0" w:color="000000"/>
            </w:tcBorders>
            <w:tcMar>
              <w:bottom w:w="28" w:type="dxa"/>
            </w:tcMar>
            <w:vAlign w:val="bottom"/>
          </w:tcPr>
          <w:p>
            <w:pPr>
              <w:pStyle w:val="TableContents"/>
              <w:bidi w:val="0"/>
              <w:spacing w:before="0" w:after="283"/>
              <w:jc w:val="center"/>
              <w:rPr>
                <w:b/>
              </w:rPr>
            </w:pPr>
            <w:r>
              <w:rPr>
                <w:b/>
              </w:rPr>
              <w:t>Delivery</w:t>
              <w:br/>
              <w:t>Date</w:t>
            </w:r>
          </w:p>
        </w:tc>
        <w:tc>
          <w:tcPr>
            <w:tcW w:w="170" w:type="dxa"/>
            <w:tcBorders/>
            <w:vAlign w:val="bottom"/>
          </w:tcPr>
          <w:p>
            <w:pPr>
              <w:pStyle w:val="TableContents"/>
              <w:bidi w:val="0"/>
              <w:spacing w:before="0" w:after="283"/>
              <w:jc w:val="left"/>
              <w:rPr/>
            </w:pPr>
            <w:r>
              <w:rPr/>
              <w:t>  </w:t>
            </w:r>
          </w:p>
        </w:tc>
        <w:tc>
          <w:tcPr>
            <w:tcW w:w="9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Capacity</w:t>
              <w:br/>
              <w:t>(DWT)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Charter-Out</w:t>
              <w:br/>
              <w:t>Rate(1)</w:t>
            </w:r>
          </w:p>
        </w:tc>
        <w:tc>
          <w:tcPr>
            <w:tcW w:w="5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3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Index(2)</w:t>
            </w:r>
          </w:p>
        </w:tc>
        <w:tc>
          <w:tcPr>
            <w:tcW w:w="170" w:type="dxa"/>
            <w:tcBorders/>
            <w:vAlign w:val="bottom"/>
          </w:tcPr>
          <w:p>
            <w:pPr>
              <w:pStyle w:val="TableContents"/>
              <w:bidi w:val="0"/>
              <w:spacing w:before="0" w:after="283"/>
              <w:jc w:val="left"/>
              <w:rPr/>
            </w:pPr>
            <w:r>
              <w:rPr/>
              <w:t>  </w:t>
            </w:r>
          </w:p>
        </w:tc>
        <w:tc>
          <w:tcPr>
            <w:tcW w:w="1157" w:type="dxa"/>
            <w:tcBorders>
              <w:bottom w:val="single" w:sz="8" w:space="0" w:color="000000"/>
            </w:tcBorders>
            <w:tcMar>
              <w:bottom w:w="28" w:type="dxa"/>
            </w:tcMar>
            <w:vAlign w:val="bottom"/>
          </w:tcPr>
          <w:p>
            <w:pPr>
              <w:pStyle w:val="TableContents"/>
              <w:bidi w:val="0"/>
              <w:spacing w:before="0" w:after="283"/>
              <w:jc w:val="center"/>
              <w:rPr/>
            </w:pPr>
            <w:r>
              <w:rPr>
                <w:b/>
              </w:rPr>
              <w:t>Expiration</w:t>
            </w:r>
            <w:r>
              <w:rPr/>
              <w:br/>
            </w:r>
            <w:r>
              <w:rPr>
                <w:b/>
              </w:rPr>
              <w:t>Date(3)</w:t>
            </w:r>
          </w:p>
        </w:tc>
      </w:tr>
      <w:tr>
        <w:trPr/>
        <w:tc>
          <w:tcPr>
            <w:tcW w:w="2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TBN I(6)</w:t>
            </w:r>
          </w:p>
        </w:tc>
        <w:tc>
          <w:tcPr>
            <w:tcW w:w="17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center"/>
              <w:rPr/>
            </w:pPr>
            <w:r>
              <w:rPr/>
              <w:t>Capesize</w:t>
            </w:r>
          </w:p>
        </w:tc>
        <w:tc>
          <w:tcPr>
            <w:tcW w:w="17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center"/>
              <w:rPr/>
            </w:pPr>
            <w:r>
              <w:rPr/>
              <w:t>Q2 2023</w:t>
            </w:r>
          </w:p>
        </w:tc>
        <w:tc>
          <w:tcPr>
            <w:tcW w:w="17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180,000</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19,550</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center"/>
              <w:rPr/>
            </w:pPr>
            <w:r>
              <w:rPr/>
              <w:t>No</w:t>
            </w:r>
          </w:p>
        </w:tc>
        <w:tc>
          <w:tcPr>
            <w:tcW w:w="170"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center"/>
              <w:rPr/>
            </w:pPr>
            <w:r>
              <w:rPr/>
              <w:t>Feb-28</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677"/>
        <w:gridCol w:w="129"/>
        <w:gridCol w:w="1381"/>
        <w:gridCol w:w="129"/>
        <w:gridCol w:w="897"/>
        <w:gridCol w:w="129"/>
        <w:gridCol w:w="90"/>
        <w:gridCol w:w="870"/>
        <w:gridCol w:w="60"/>
        <w:gridCol w:w="129"/>
        <w:gridCol w:w="223"/>
        <w:gridCol w:w="1110"/>
        <w:gridCol w:w="60"/>
        <w:gridCol w:w="129"/>
        <w:gridCol w:w="920"/>
        <w:gridCol w:w="129"/>
        <w:gridCol w:w="1143"/>
      </w:tblGrid>
      <w:tr>
        <w:trPr/>
        <w:tc>
          <w:tcPr>
            <w:tcW w:w="2677"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r>
      <w:tr>
        <w:trPr/>
        <w:tc>
          <w:tcPr>
            <w:tcW w:w="267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Owned Containerships to be</w:t>
              <w:br/>
              <w:t>Delivered                                </w:t>
            </w:r>
          </w:p>
        </w:tc>
        <w:tc>
          <w:tcPr>
            <w:tcW w:w="129" w:type="dxa"/>
            <w:tcBorders/>
            <w:vAlign w:val="bottom"/>
          </w:tcPr>
          <w:p>
            <w:pPr>
              <w:pStyle w:val="TableContents"/>
              <w:bidi w:val="0"/>
              <w:spacing w:before="0" w:after="283"/>
              <w:jc w:val="left"/>
              <w:rPr/>
            </w:pPr>
            <w:r>
              <w:rPr/>
              <w:t>  </w:t>
            </w:r>
          </w:p>
        </w:tc>
        <w:tc>
          <w:tcPr>
            <w:tcW w:w="1381" w:type="dxa"/>
            <w:tcBorders>
              <w:bottom w:val="single" w:sz="8" w:space="0" w:color="000000"/>
            </w:tcBorders>
            <w:tcMar>
              <w:bottom w:w="28" w:type="dxa"/>
            </w:tcMar>
            <w:vAlign w:val="bottom"/>
          </w:tcPr>
          <w:p>
            <w:pPr>
              <w:pStyle w:val="TableContents"/>
              <w:bidi w:val="0"/>
              <w:spacing w:before="0" w:after="283"/>
              <w:jc w:val="center"/>
              <w:rPr>
                <w:b/>
              </w:rPr>
            </w:pPr>
            <w:r>
              <w:rPr>
                <w:b/>
              </w:rPr>
              <w:t>Type</w:t>
            </w:r>
          </w:p>
        </w:tc>
        <w:tc>
          <w:tcPr>
            <w:tcW w:w="129" w:type="dxa"/>
            <w:tcBorders/>
            <w:vAlign w:val="bottom"/>
          </w:tcPr>
          <w:p>
            <w:pPr>
              <w:pStyle w:val="TableContents"/>
              <w:bidi w:val="0"/>
              <w:spacing w:before="0" w:after="283"/>
              <w:jc w:val="left"/>
              <w:rPr/>
            </w:pPr>
            <w:r>
              <w:rPr/>
              <w:t>  </w:t>
            </w:r>
          </w:p>
        </w:tc>
        <w:tc>
          <w:tcPr>
            <w:tcW w:w="897" w:type="dxa"/>
            <w:tcBorders>
              <w:bottom w:val="single" w:sz="8" w:space="0" w:color="000000"/>
            </w:tcBorders>
            <w:tcMar>
              <w:bottom w:w="28" w:type="dxa"/>
            </w:tcMar>
            <w:vAlign w:val="bottom"/>
          </w:tcPr>
          <w:p>
            <w:pPr>
              <w:pStyle w:val="TableContents"/>
              <w:bidi w:val="0"/>
              <w:spacing w:before="0" w:after="283"/>
              <w:jc w:val="center"/>
              <w:rPr>
                <w:b/>
              </w:rPr>
            </w:pPr>
            <w:r>
              <w:rPr>
                <w:b/>
              </w:rPr>
              <w:t>Delivery</w:t>
              <w:br/>
              <w:t>Date</w:t>
            </w:r>
          </w:p>
        </w:tc>
        <w:tc>
          <w:tcPr>
            <w:tcW w:w="129"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Capacity</w:t>
              <w:br/>
              <w:t>(TEU)</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Charter-Out</w:t>
              <w:br/>
              <w:t>Rate(1)</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Index(2)</w:t>
            </w:r>
          </w:p>
        </w:tc>
        <w:tc>
          <w:tcPr>
            <w:tcW w:w="129" w:type="dxa"/>
            <w:tcBorders/>
            <w:vAlign w:val="bottom"/>
          </w:tcPr>
          <w:p>
            <w:pPr>
              <w:pStyle w:val="TableContents"/>
              <w:bidi w:val="0"/>
              <w:spacing w:before="0" w:after="283"/>
              <w:jc w:val="left"/>
              <w:rPr/>
            </w:pPr>
            <w:r>
              <w:rPr/>
              <w:t>  </w:t>
            </w:r>
          </w:p>
        </w:tc>
        <w:tc>
          <w:tcPr>
            <w:tcW w:w="1143" w:type="dxa"/>
            <w:tcBorders>
              <w:bottom w:val="single" w:sz="8" w:space="0" w:color="000000"/>
            </w:tcBorders>
            <w:tcMar>
              <w:bottom w:w="28" w:type="dxa"/>
            </w:tcMar>
            <w:vAlign w:val="bottom"/>
          </w:tcPr>
          <w:p>
            <w:pPr>
              <w:pStyle w:val="TableContents"/>
              <w:bidi w:val="0"/>
              <w:spacing w:before="0" w:after="283"/>
              <w:jc w:val="center"/>
              <w:rPr/>
            </w:pPr>
            <w:r>
              <w:rPr>
                <w:b/>
              </w:rPr>
              <w:t>Expiration</w:t>
            </w:r>
            <w:r>
              <w:rPr/>
              <w:br/>
            </w:r>
            <w:r>
              <w:rPr>
                <w:b/>
              </w:rPr>
              <w:t>Date(3)</w:t>
            </w:r>
          </w:p>
        </w:tc>
      </w:tr>
      <w:tr>
        <w:trPr/>
        <w:tc>
          <w:tcPr>
            <w:tcW w:w="26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TBN II</w:t>
            </w:r>
          </w:p>
        </w:tc>
        <w:tc>
          <w:tcPr>
            <w:tcW w:w="129" w:type="dxa"/>
            <w:tcBorders/>
            <w:shd w:fill="CCEEFF" w:val="clear"/>
            <w:vAlign w:val="bottom"/>
          </w:tcPr>
          <w:p>
            <w:pPr>
              <w:pStyle w:val="TableContents"/>
              <w:bidi w:val="0"/>
              <w:spacing w:before="0" w:after="283"/>
              <w:jc w:val="left"/>
              <w:rPr/>
            </w:pPr>
            <w:r>
              <w:rPr/>
              <w:t>  </w:t>
            </w:r>
          </w:p>
        </w:tc>
        <w:tc>
          <w:tcPr>
            <w:tcW w:w="1381" w:type="dxa"/>
            <w:tcBorders/>
            <w:shd w:fill="CCEEFF" w:val="clear"/>
          </w:tcPr>
          <w:p>
            <w:pPr>
              <w:pStyle w:val="TableContents"/>
              <w:bidi w:val="0"/>
              <w:spacing w:before="0" w:after="283"/>
              <w:jc w:val="center"/>
              <w:rPr/>
            </w:pPr>
            <w:r>
              <w:rPr/>
              <w:t>Containership</w:t>
            </w:r>
          </w:p>
        </w:tc>
        <w:tc>
          <w:tcPr>
            <w:tcW w:w="129" w:type="dxa"/>
            <w:tcBorders/>
            <w:shd w:fill="CCEEFF" w:val="clear"/>
            <w:vAlign w:val="bottom"/>
          </w:tcPr>
          <w:p>
            <w:pPr>
              <w:pStyle w:val="TableContents"/>
              <w:bidi w:val="0"/>
              <w:spacing w:before="0" w:after="283"/>
              <w:jc w:val="left"/>
              <w:rPr/>
            </w:pPr>
            <w:r>
              <w:rPr/>
              <w:t>  </w:t>
            </w:r>
          </w:p>
        </w:tc>
        <w:tc>
          <w:tcPr>
            <w:tcW w:w="897" w:type="dxa"/>
            <w:tcBorders/>
            <w:shd w:fill="CCEEFF" w:val="clear"/>
          </w:tcPr>
          <w:p>
            <w:pPr>
              <w:pStyle w:val="TableContents"/>
              <w:bidi w:val="0"/>
              <w:spacing w:before="0" w:after="283"/>
              <w:jc w:val="center"/>
              <w:rPr/>
            </w:pPr>
            <w:r>
              <w:rPr/>
              <w:t>H2 2023</w:t>
            </w:r>
          </w:p>
        </w:tc>
        <w:tc>
          <w:tcPr>
            <w:tcW w:w="129" w:type="dxa"/>
            <w:tcBorders/>
            <w:shd w:fill="CCEEFF" w:val="clear"/>
            <w:vAlign w:val="bottom"/>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870" w:type="dxa"/>
            <w:tcBorders/>
            <w:shd w:fill="CCEEFF" w:val="clear"/>
          </w:tcPr>
          <w:p>
            <w:pPr>
              <w:pStyle w:val="TableContents"/>
              <w:bidi w:val="0"/>
              <w:spacing w:before="0" w:after="283"/>
              <w:jc w:val="right"/>
              <w:rPr/>
            </w:pPr>
            <w:r>
              <w:rPr/>
              <w:t>5,300</w:t>
            </w:r>
          </w:p>
        </w:tc>
        <w:tc>
          <w:tcPr>
            <w:tcW w:w="60" w:type="dxa"/>
            <w:tcBorders/>
            <w:shd w:fill="CCEEFF" w:val="clear"/>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1110" w:type="dxa"/>
            <w:tcBorders/>
            <w:shd w:fill="CCEEFF" w:val="clear"/>
            <w:vAlign w:val="bottom"/>
          </w:tcPr>
          <w:p>
            <w:pPr>
              <w:pStyle w:val="TableContents"/>
              <w:bidi w:val="0"/>
              <w:jc w:val="right"/>
              <w:rPr/>
            </w:pPr>
            <w:r>
              <w:rPr/>
              <w:t>42,900</w:t>
            </w:r>
          </w:p>
          <w:p>
            <w:pPr>
              <w:pStyle w:val="TableContents"/>
              <w:bidi w:val="0"/>
              <w:spacing w:before="0" w:after="0"/>
              <w:jc w:val="right"/>
              <w:rPr>
                <w:rFonts w:ascii="Times New Roman" w:hAnsi="Times New Roman"/>
                <w:sz w:val="20"/>
              </w:rPr>
            </w:pPr>
            <w:r>
              <w:rPr>
                <w:rFonts w:ascii="Times New Roman" w:hAnsi="Times New Roman"/>
                <w:sz w:val="20"/>
              </w:rPr>
              <w:t>39,000</w:t>
            </w:r>
          </w:p>
          <w:p>
            <w:pPr>
              <w:pStyle w:val="TableContents"/>
              <w:bidi w:val="0"/>
              <w:spacing w:before="0" w:after="0"/>
              <w:jc w:val="right"/>
              <w:rPr>
                <w:rFonts w:ascii="Times New Roman" w:hAnsi="Times New Roman"/>
                <w:sz w:val="20"/>
              </w:rPr>
            </w:pPr>
            <w:r>
              <w:rPr>
                <w:rFonts w:ascii="Times New Roman" w:hAnsi="Times New Roman"/>
                <w:sz w:val="20"/>
              </w:rPr>
              <w:t>37,050</w:t>
            </w:r>
          </w:p>
          <w:p>
            <w:pPr>
              <w:pStyle w:val="TableContents"/>
              <w:bidi w:val="0"/>
              <w:spacing w:before="0" w:after="0"/>
              <w:jc w:val="right"/>
              <w:rPr>
                <w:rFonts w:ascii="Times New Roman" w:hAnsi="Times New Roman"/>
                <w:sz w:val="20"/>
              </w:rPr>
            </w:pPr>
            <w:r>
              <w:rPr>
                <w:rFonts w:ascii="Times New Roman" w:hAnsi="Times New Roman"/>
                <w:sz w:val="20"/>
              </w:rPr>
              <w:t>35,100</w:t>
            </w:r>
          </w:p>
          <w:p>
            <w:pPr>
              <w:pStyle w:val="TableContents"/>
              <w:bidi w:val="0"/>
              <w:spacing w:before="0" w:after="0"/>
              <w:jc w:val="right"/>
              <w:rPr>
                <w:rFonts w:ascii="Times New Roman" w:hAnsi="Times New Roman"/>
                <w:sz w:val="20"/>
              </w:rPr>
            </w:pPr>
            <w:r>
              <w:rPr>
                <w:rFonts w:ascii="Times New Roman" w:hAnsi="Times New Roman"/>
                <w:sz w:val="20"/>
              </w:rPr>
              <w:t>31,200</w:t>
            </w:r>
          </w:p>
          <w:p>
            <w:pPr>
              <w:pStyle w:val="TableContents"/>
              <w:bidi w:val="0"/>
              <w:spacing w:before="0" w:after="20"/>
              <w:jc w:val="right"/>
              <w:rPr>
                <w:rFonts w:ascii="Times New Roman" w:hAnsi="Times New Roman"/>
                <w:sz w:val="20"/>
              </w:rPr>
            </w:pPr>
            <w:r>
              <w:rPr>
                <w:rFonts w:ascii="Times New Roman" w:hAnsi="Times New Roman"/>
                <w:sz w:val="20"/>
              </w:rPr>
              <w:t>37,050</w:t>
            </w:r>
          </w:p>
        </w:tc>
        <w:tc>
          <w:tcPr>
            <w:tcW w:w="60" w:type="dxa"/>
            <w:tcBorders/>
            <w:shd w:fill="CCEEFF" w:val="clear"/>
            <w:vAlign w:val="bottom"/>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20" w:type="dxa"/>
            <w:tcBorders/>
            <w:shd w:fill="CCEEFF" w:val="clear"/>
          </w:tcPr>
          <w:p>
            <w:pPr>
              <w:pStyle w:val="TableContents"/>
              <w:bidi w:val="0"/>
              <w:spacing w:before="0" w:after="283"/>
              <w:jc w:val="center"/>
              <w:rPr/>
            </w:pPr>
            <w:r>
              <w:rPr/>
              <w:t>No</w:t>
              <w:br/>
              <w:t>No</w:t>
              <w:br/>
              <w:t>No</w:t>
              <w:br/>
              <w:t>No</w:t>
              <w:br/>
              <w:t>No</w:t>
              <w:br/>
              <w:t>No</w:t>
            </w:r>
          </w:p>
        </w:tc>
        <w:tc>
          <w:tcPr>
            <w:tcW w:w="129" w:type="dxa"/>
            <w:tcBorders/>
            <w:shd w:fill="CCEEFF" w:val="clear"/>
            <w:vAlign w:val="bottom"/>
          </w:tcPr>
          <w:p>
            <w:pPr>
              <w:pStyle w:val="TableContents"/>
              <w:bidi w:val="0"/>
              <w:spacing w:before="0" w:after="283"/>
              <w:jc w:val="left"/>
              <w:rPr/>
            </w:pPr>
            <w:r>
              <w:rPr/>
              <w:t>  </w:t>
            </w:r>
          </w:p>
        </w:tc>
        <w:tc>
          <w:tcPr>
            <w:tcW w:w="1143" w:type="dxa"/>
            <w:tcBorders/>
            <w:shd w:fill="CCEEFF" w:val="clear"/>
          </w:tcPr>
          <w:p>
            <w:pPr>
              <w:pStyle w:val="TableContents"/>
              <w:bidi w:val="0"/>
              <w:spacing w:before="0" w:after="283"/>
              <w:jc w:val="center"/>
              <w:rPr/>
            </w:pPr>
            <w:r>
              <w:rPr/>
              <w:t>Sep-24</w:t>
              <w:br/>
              <w:t>Sep-25</w:t>
              <w:br/>
              <w:t>Sep-26</w:t>
              <w:br/>
              <w:t>Sep-27</w:t>
              <w:br/>
              <w:t>Sep-28</w:t>
              <w:br/>
              <w:t>Nov-28</w:t>
            </w:r>
          </w:p>
        </w:tc>
      </w:tr>
      <w:tr>
        <w:trPr/>
        <w:tc>
          <w:tcPr>
            <w:tcW w:w="2677" w:type="dxa"/>
            <w:tcBorders/>
          </w:tcPr>
          <w:p>
            <w:pPr>
              <w:pStyle w:val="TableContents"/>
              <w:bidi w:val="0"/>
              <w:spacing w:before="0" w:after="0"/>
              <w:jc w:val="left"/>
              <w:rPr>
                <w:rFonts w:ascii="Times New Roman" w:hAnsi="Times New Roman"/>
                <w:sz w:val="20"/>
              </w:rPr>
            </w:pPr>
            <w:r>
              <w:rPr>
                <w:rFonts w:ascii="Times New Roman" w:hAnsi="Times New Roman"/>
                <w:sz w:val="20"/>
              </w:rPr>
              <w:t>TBN III</w:t>
            </w:r>
          </w:p>
        </w:tc>
        <w:tc>
          <w:tcPr>
            <w:tcW w:w="129" w:type="dxa"/>
            <w:tcBorders/>
            <w:vAlign w:val="bottom"/>
          </w:tcPr>
          <w:p>
            <w:pPr>
              <w:pStyle w:val="TableContents"/>
              <w:bidi w:val="0"/>
              <w:spacing w:before="0" w:after="283"/>
              <w:jc w:val="left"/>
              <w:rPr/>
            </w:pPr>
            <w:r>
              <w:rPr/>
              <w:t>  </w:t>
            </w:r>
          </w:p>
        </w:tc>
        <w:tc>
          <w:tcPr>
            <w:tcW w:w="1381" w:type="dxa"/>
            <w:tcBorders/>
          </w:tcPr>
          <w:p>
            <w:pPr>
              <w:pStyle w:val="TableContents"/>
              <w:bidi w:val="0"/>
              <w:spacing w:before="0" w:after="283"/>
              <w:jc w:val="center"/>
              <w:rPr/>
            </w:pPr>
            <w:r>
              <w:rPr/>
              <w:t>Containership</w:t>
            </w:r>
          </w:p>
        </w:tc>
        <w:tc>
          <w:tcPr>
            <w:tcW w:w="129" w:type="dxa"/>
            <w:tcBorders/>
            <w:vAlign w:val="bottom"/>
          </w:tcPr>
          <w:p>
            <w:pPr>
              <w:pStyle w:val="TableContents"/>
              <w:bidi w:val="0"/>
              <w:spacing w:before="0" w:after="283"/>
              <w:jc w:val="left"/>
              <w:rPr/>
            </w:pPr>
            <w:r>
              <w:rPr/>
              <w:t>  </w:t>
            </w:r>
          </w:p>
        </w:tc>
        <w:tc>
          <w:tcPr>
            <w:tcW w:w="897" w:type="dxa"/>
            <w:tcBorders/>
          </w:tcPr>
          <w:p>
            <w:pPr>
              <w:pStyle w:val="TableContents"/>
              <w:bidi w:val="0"/>
              <w:spacing w:before="0" w:after="283"/>
              <w:jc w:val="center"/>
              <w:rPr/>
            </w:pPr>
            <w:r>
              <w:rPr/>
              <w:t>H2 2023</w:t>
            </w:r>
          </w:p>
        </w:tc>
        <w:tc>
          <w:tcPr>
            <w:tcW w:w="129"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870" w:type="dxa"/>
            <w:tcBorders/>
          </w:tcPr>
          <w:p>
            <w:pPr>
              <w:pStyle w:val="TableContents"/>
              <w:bidi w:val="0"/>
              <w:spacing w:before="0" w:after="283"/>
              <w:jc w:val="right"/>
              <w:rPr/>
            </w:pPr>
            <w:r>
              <w:rPr/>
              <w:t>5,300</w:t>
            </w:r>
          </w:p>
        </w:tc>
        <w:tc>
          <w:tcPr>
            <w:tcW w:w="60"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1110" w:type="dxa"/>
            <w:tcBorders/>
            <w:vAlign w:val="bottom"/>
          </w:tcPr>
          <w:p>
            <w:pPr>
              <w:pStyle w:val="TableContents"/>
              <w:bidi w:val="0"/>
              <w:jc w:val="right"/>
              <w:rPr/>
            </w:pPr>
            <w:r>
              <w:rPr/>
              <w:t>42,900</w:t>
            </w:r>
          </w:p>
          <w:p>
            <w:pPr>
              <w:pStyle w:val="TableContents"/>
              <w:bidi w:val="0"/>
              <w:spacing w:before="0" w:after="0"/>
              <w:jc w:val="right"/>
              <w:rPr>
                <w:rFonts w:ascii="Times New Roman" w:hAnsi="Times New Roman"/>
                <w:sz w:val="20"/>
              </w:rPr>
            </w:pPr>
            <w:r>
              <w:rPr>
                <w:rFonts w:ascii="Times New Roman" w:hAnsi="Times New Roman"/>
                <w:sz w:val="20"/>
              </w:rPr>
              <w:t>39,000</w:t>
            </w:r>
          </w:p>
          <w:p>
            <w:pPr>
              <w:pStyle w:val="TableContents"/>
              <w:bidi w:val="0"/>
              <w:spacing w:before="0" w:after="0"/>
              <w:jc w:val="right"/>
              <w:rPr>
                <w:rFonts w:ascii="Times New Roman" w:hAnsi="Times New Roman"/>
                <w:sz w:val="20"/>
              </w:rPr>
            </w:pPr>
            <w:r>
              <w:rPr>
                <w:rFonts w:ascii="Times New Roman" w:hAnsi="Times New Roman"/>
                <w:sz w:val="20"/>
              </w:rPr>
              <w:t>37,050</w:t>
            </w:r>
          </w:p>
          <w:p>
            <w:pPr>
              <w:pStyle w:val="TableContents"/>
              <w:bidi w:val="0"/>
              <w:spacing w:before="0" w:after="0"/>
              <w:jc w:val="right"/>
              <w:rPr>
                <w:rFonts w:ascii="Times New Roman" w:hAnsi="Times New Roman"/>
                <w:sz w:val="20"/>
              </w:rPr>
            </w:pPr>
            <w:r>
              <w:rPr>
                <w:rFonts w:ascii="Times New Roman" w:hAnsi="Times New Roman"/>
                <w:sz w:val="20"/>
              </w:rPr>
              <w:t>35,100</w:t>
            </w:r>
          </w:p>
          <w:p>
            <w:pPr>
              <w:pStyle w:val="TableContents"/>
              <w:bidi w:val="0"/>
              <w:spacing w:before="0" w:after="0"/>
              <w:jc w:val="right"/>
              <w:rPr>
                <w:rFonts w:ascii="Times New Roman" w:hAnsi="Times New Roman"/>
                <w:sz w:val="20"/>
              </w:rPr>
            </w:pPr>
            <w:r>
              <w:rPr>
                <w:rFonts w:ascii="Times New Roman" w:hAnsi="Times New Roman"/>
                <w:sz w:val="20"/>
              </w:rPr>
              <w:t>31,200</w:t>
            </w:r>
          </w:p>
          <w:p>
            <w:pPr>
              <w:pStyle w:val="TableContents"/>
              <w:bidi w:val="0"/>
              <w:spacing w:before="0" w:after="20"/>
              <w:jc w:val="right"/>
              <w:rPr>
                <w:rFonts w:ascii="Times New Roman" w:hAnsi="Times New Roman"/>
                <w:sz w:val="20"/>
              </w:rPr>
            </w:pPr>
            <w:r>
              <w:rPr>
                <w:rFonts w:ascii="Times New Roman" w:hAnsi="Times New Roman"/>
                <w:sz w:val="20"/>
              </w:rPr>
              <w:t>37,050</w:t>
            </w:r>
          </w:p>
        </w:tc>
        <w:tc>
          <w:tcPr>
            <w:tcW w:w="60" w:type="dxa"/>
            <w:tcBorders/>
            <w:vAlign w:val="bottom"/>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9" w:type="dxa"/>
            <w:tcBorders/>
            <w:vAlign w:val="bottom"/>
          </w:tcPr>
          <w:p>
            <w:pPr>
              <w:pStyle w:val="TableContents"/>
              <w:bidi w:val="0"/>
              <w:spacing w:before="0" w:after="283"/>
              <w:jc w:val="left"/>
              <w:rPr/>
            </w:pPr>
            <w:r>
              <w:rPr/>
              <w:t>  </w:t>
            </w:r>
          </w:p>
        </w:tc>
        <w:tc>
          <w:tcPr>
            <w:tcW w:w="920" w:type="dxa"/>
            <w:tcBorders/>
          </w:tcPr>
          <w:p>
            <w:pPr>
              <w:pStyle w:val="TableContents"/>
              <w:bidi w:val="0"/>
              <w:spacing w:before="0" w:after="283"/>
              <w:jc w:val="center"/>
              <w:rPr/>
            </w:pPr>
            <w:r>
              <w:rPr/>
              <w:t>No</w:t>
              <w:br/>
              <w:t>No</w:t>
              <w:br/>
              <w:t>No</w:t>
              <w:br/>
              <w:t>No</w:t>
              <w:br/>
              <w:t>No</w:t>
              <w:br/>
              <w:t>No</w:t>
            </w:r>
          </w:p>
        </w:tc>
        <w:tc>
          <w:tcPr>
            <w:tcW w:w="129" w:type="dxa"/>
            <w:tcBorders/>
            <w:vAlign w:val="bottom"/>
          </w:tcPr>
          <w:p>
            <w:pPr>
              <w:pStyle w:val="TableContents"/>
              <w:bidi w:val="0"/>
              <w:spacing w:before="0" w:after="283"/>
              <w:jc w:val="left"/>
              <w:rPr/>
            </w:pPr>
            <w:r>
              <w:rPr/>
              <w:t>  </w:t>
            </w:r>
          </w:p>
        </w:tc>
        <w:tc>
          <w:tcPr>
            <w:tcW w:w="1143" w:type="dxa"/>
            <w:tcBorders/>
          </w:tcPr>
          <w:p>
            <w:pPr>
              <w:pStyle w:val="TableContents"/>
              <w:bidi w:val="0"/>
              <w:spacing w:before="0" w:after="283"/>
              <w:jc w:val="center"/>
              <w:rPr/>
            </w:pPr>
            <w:r>
              <w:rPr/>
              <w:t>Oct-24</w:t>
              <w:br/>
              <w:t>Oct-25</w:t>
              <w:br/>
              <w:t>Oct-26</w:t>
              <w:br/>
              <w:t>Oct-27</w:t>
              <w:br/>
              <w:t>Oct-28</w:t>
              <w:br/>
              <w:t>Dec-28</w:t>
            </w:r>
          </w:p>
        </w:tc>
      </w:tr>
      <w:tr>
        <w:trPr/>
        <w:tc>
          <w:tcPr>
            <w:tcW w:w="26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TBN VIII</w:t>
            </w:r>
          </w:p>
        </w:tc>
        <w:tc>
          <w:tcPr>
            <w:tcW w:w="129" w:type="dxa"/>
            <w:tcBorders/>
            <w:shd w:fill="CCEEFF" w:val="clear"/>
            <w:vAlign w:val="bottom"/>
          </w:tcPr>
          <w:p>
            <w:pPr>
              <w:pStyle w:val="TableContents"/>
              <w:bidi w:val="0"/>
              <w:spacing w:before="0" w:after="283"/>
              <w:jc w:val="left"/>
              <w:rPr/>
            </w:pPr>
            <w:r>
              <w:rPr/>
              <w:t>  </w:t>
            </w:r>
          </w:p>
        </w:tc>
        <w:tc>
          <w:tcPr>
            <w:tcW w:w="1381" w:type="dxa"/>
            <w:tcBorders/>
            <w:shd w:fill="CCEEFF" w:val="clear"/>
          </w:tcPr>
          <w:p>
            <w:pPr>
              <w:pStyle w:val="TableContents"/>
              <w:bidi w:val="0"/>
              <w:spacing w:before="0" w:after="283"/>
              <w:jc w:val="center"/>
              <w:rPr/>
            </w:pPr>
            <w:r>
              <w:rPr/>
              <w:t>Containership</w:t>
            </w:r>
          </w:p>
        </w:tc>
        <w:tc>
          <w:tcPr>
            <w:tcW w:w="129" w:type="dxa"/>
            <w:tcBorders/>
            <w:shd w:fill="CCEEFF" w:val="clear"/>
            <w:vAlign w:val="bottom"/>
          </w:tcPr>
          <w:p>
            <w:pPr>
              <w:pStyle w:val="TableContents"/>
              <w:bidi w:val="0"/>
              <w:spacing w:before="0" w:after="283"/>
              <w:jc w:val="left"/>
              <w:rPr/>
            </w:pPr>
            <w:r>
              <w:rPr/>
              <w:t>  </w:t>
            </w:r>
          </w:p>
        </w:tc>
        <w:tc>
          <w:tcPr>
            <w:tcW w:w="897" w:type="dxa"/>
            <w:tcBorders/>
            <w:shd w:fill="CCEEFF" w:val="clear"/>
          </w:tcPr>
          <w:p>
            <w:pPr>
              <w:pStyle w:val="TableContents"/>
              <w:bidi w:val="0"/>
              <w:spacing w:before="0" w:after="283"/>
              <w:jc w:val="center"/>
              <w:rPr/>
            </w:pPr>
            <w:r>
              <w:rPr/>
              <w:t>H2 2023</w:t>
            </w:r>
          </w:p>
        </w:tc>
        <w:tc>
          <w:tcPr>
            <w:tcW w:w="129" w:type="dxa"/>
            <w:tcBorders/>
            <w:shd w:fill="CCEEFF" w:val="clear"/>
            <w:vAlign w:val="bottom"/>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870" w:type="dxa"/>
            <w:tcBorders/>
            <w:shd w:fill="CCEEFF" w:val="clear"/>
          </w:tcPr>
          <w:p>
            <w:pPr>
              <w:pStyle w:val="TableContents"/>
              <w:bidi w:val="0"/>
              <w:spacing w:before="0" w:after="283"/>
              <w:jc w:val="right"/>
              <w:rPr/>
            </w:pPr>
            <w:r>
              <w:rPr/>
              <w:t>5,300</w:t>
            </w:r>
          </w:p>
        </w:tc>
        <w:tc>
          <w:tcPr>
            <w:tcW w:w="60" w:type="dxa"/>
            <w:tcBorders/>
            <w:shd w:fill="CCEEFF" w:val="clear"/>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1110" w:type="dxa"/>
            <w:tcBorders/>
            <w:shd w:fill="CCEEFF" w:val="clear"/>
            <w:vAlign w:val="bottom"/>
          </w:tcPr>
          <w:p>
            <w:pPr>
              <w:pStyle w:val="TableContents"/>
              <w:bidi w:val="0"/>
              <w:jc w:val="right"/>
              <w:rPr/>
            </w:pPr>
            <w:r>
              <w:rPr/>
              <w:t>42,900</w:t>
            </w:r>
          </w:p>
          <w:p>
            <w:pPr>
              <w:pStyle w:val="TableContents"/>
              <w:bidi w:val="0"/>
              <w:spacing w:before="0" w:after="0"/>
              <w:jc w:val="right"/>
              <w:rPr>
                <w:rFonts w:ascii="Times New Roman" w:hAnsi="Times New Roman"/>
                <w:sz w:val="20"/>
              </w:rPr>
            </w:pPr>
            <w:r>
              <w:rPr>
                <w:rFonts w:ascii="Times New Roman" w:hAnsi="Times New Roman"/>
                <w:sz w:val="20"/>
              </w:rPr>
              <w:t>39,000</w:t>
            </w:r>
          </w:p>
          <w:p>
            <w:pPr>
              <w:pStyle w:val="TableContents"/>
              <w:bidi w:val="0"/>
              <w:spacing w:before="0" w:after="0"/>
              <w:jc w:val="right"/>
              <w:rPr>
                <w:rFonts w:ascii="Times New Roman" w:hAnsi="Times New Roman"/>
                <w:sz w:val="20"/>
              </w:rPr>
            </w:pPr>
            <w:r>
              <w:rPr>
                <w:rFonts w:ascii="Times New Roman" w:hAnsi="Times New Roman"/>
                <w:sz w:val="20"/>
              </w:rPr>
              <w:t>37,050</w:t>
            </w:r>
          </w:p>
          <w:p>
            <w:pPr>
              <w:pStyle w:val="TableContents"/>
              <w:bidi w:val="0"/>
              <w:spacing w:before="0" w:after="0"/>
              <w:jc w:val="right"/>
              <w:rPr>
                <w:rFonts w:ascii="Times New Roman" w:hAnsi="Times New Roman"/>
                <w:sz w:val="20"/>
              </w:rPr>
            </w:pPr>
            <w:r>
              <w:rPr>
                <w:rFonts w:ascii="Times New Roman" w:hAnsi="Times New Roman"/>
                <w:sz w:val="20"/>
              </w:rPr>
              <w:t>35,100</w:t>
            </w:r>
          </w:p>
          <w:p>
            <w:pPr>
              <w:pStyle w:val="TableContents"/>
              <w:bidi w:val="0"/>
              <w:spacing w:before="0" w:after="0"/>
              <w:jc w:val="right"/>
              <w:rPr>
                <w:rFonts w:ascii="Times New Roman" w:hAnsi="Times New Roman"/>
                <w:sz w:val="20"/>
              </w:rPr>
            </w:pPr>
            <w:r>
              <w:rPr>
                <w:rFonts w:ascii="Times New Roman" w:hAnsi="Times New Roman"/>
                <w:sz w:val="20"/>
              </w:rPr>
              <w:t>31,200</w:t>
            </w:r>
          </w:p>
          <w:p>
            <w:pPr>
              <w:pStyle w:val="TableContents"/>
              <w:bidi w:val="0"/>
              <w:spacing w:before="0" w:after="20"/>
              <w:jc w:val="right"/>
              <w:rPr>
                <w:rFonts w:ascii="Times New Roman" w:hAnsi="Times New Roman"/>
                <w:sz w:val="20"/>
              </w:rPr>
            </w:pPr>
            <w:r>
              <w:rPr>
                <w:rFonts w:ascii="Times New Roman" w:hAnsi="Times New Roman"/>
                <w:sz w:val="20"/>
              </w:rPr>
              <w:t>37,050</w:t>
            </w:r>
          </w:p>
        </w:tc>
        <w:tc>
          <w:tcPr>
            <w:tcW w:w="60" w:type="dxa"/>
            <w:tcBorders/>
            <w:shd w:fill="CCEEFF" w:val="clear"/>
            <w:vAlign w:val="bottom"/>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20" w:type="dxa"/>
            <w:tcBorders/>
            <w:shd w:fill="CCEEFF" w:val="clear"/>
          </w:tcPr>
          <w:p>
            <w:pPr>
              <w:pStyle w:val="TableContents"/>
              <w:bidi w:val="0"/>
              <w:spacing w:before="0" w:after="283"/>
              <w:jc w:val="center"/>
              <w:rPr/>
            </w:pPr>
            <w:r>
              <w:rPr/>
              <w:t>No</w:t>
              <w:br/>
              <w:t>No</w:t>
              <w:br/>
              <w:t>No</w:t>
              <w:br/>
              <w:t>No</w:t>
              <w:br/>
              <w:t>No</w:t>
              <w:br/>
              <w:t>No</w:t>
            </w:r>
          </w:p>
        </w:tc>
        <w:tc>
          <w:tcPr>
            <w:tcW w:w="129" w:type="dxa"/>
            <w:tcBorders/>
            <w:shd w:fill="CCEEFF" w:val="clear"/>
            <w:vAlign w:val="bottom"/>
          </w:tcPr>
          <w:p>
            <w:pPr>
              <w:pStyle w:val="TableContents"/>
              <w:bidi w:val="0"/>
              <w:spacing w:before="0" w:after="283"/>
              <w:jc w:val="left"/>
              <w:rPr/>
            </w:pPr>
            <w:r>
              <w:rPr/>
              <w:t>  </w:t>
            </w:r>
          </w:p>
        </w:tc>
        <w:tc>
          <w:tcPr>
            <w:tcW w:w="1143" w:type="dxa"/>
            <w:tcBorders/>
            <w:shd w:fill="CCEEFF" w:val="clear"/>
          </w:tcPr>
          <w:p>
            <w:pPr>
              <w:pStyle w:val="TableContents"/>
              <w:bidi w:val="0"/>
              <w:spacing w:before="0" w:after="283"/>
              <w:jc w:val="center"/>
              <w:rPr/>
            </w:pPr>
            <w:r>
              <w:rPr/>
              <w:t>Nov-24</w:t>
              <w:br/>
              <w:t>Nov-25</w:t>
              <w:br/>
              <w:t>Nov-26</w:t>
              <w:br/>
              <w:t>Nov-27</w:t>
              <w:br/>
              <w:t>Nov-28</w:t>
              <w:br/>
              <w:t>Jan-29</w:t>
            </w:r>
          </w:p>
        </w:tc>
      </w:tr>
      <w:tr>
        <w:trPr/>
        <w:tc>
          <w:tcPr>
            <w:tcW w:w="2677" w:type="dxa"/>
            <w:tcBorders/>
          </w:tcPr>
          <w:p>
            <w:pPr>
              <w:pStyle w:val="TableContents"/>
              <w:bidi w:val="0"/>
              <w:spacing w:before="0" w:after="0"/>
              <w:jc w:val="left"/>
              <w:rPr>
                <w:rFonts w:ascii="Times New Roman" w:hAnsi="Times New Roman"/>
                <w:sz w:val="20"/>
              </w:rPr>
            </w:pPr>
            <w:r>
              <w:rPr>
                <w:rFonts w:ascii="Times New Roman" w:hAnsi="Times New Roman"/>
                <w:sz w:val="20"/>
              </w:rPr>
              <w:t>TBN IV</w:t>
            </w:r>
          </w:p>
        </w:tc>
        <w:tc>
          <w:tcPr>
            <w:tcW w:w="129" w:type="dxa"/>
            <w:tcBorders/>
            <w:vAlign w:val="bottom"/>
          </w:tcPr>
          <w:p>
            <w:pPr>
              <w:pStyle w:val="TableContents"/>
              <w:bidi w:val="0"/>
              <w:spacing w:before="0" w:after="283"/>
              <w:jc w:val="left"/>
              <w:rPr/>
            </w:pPr>
            <w:r>
              <w:rPr/>
              <w:t>  </w:t>
            </w:r>
          </w:p>
        </w:tc>
        <w:tc>
          <w:tcPr>
            <w:tcW w:w="1381" w:type="dxa"/>
            <w:tcBorders/>
          </w:tcPr>
          <w:p>
            <w:pPr>
              <w:pStyle w:val="TableContents"/>
              <w:bidi w:val="0"/>
              <w:spacing w:before="0" w:after="283"/>
              <w:jc w:val="center"/>
              <w:rPr/>
            </w:pPr>
            <w:r>
              <w:rPr/>
              <w:t>Containership</w:t>
            </w:r>
          </w:p>
        </w:tc>
        <w:tc>
          <w:tcPr>
            <w:tcW w:w="129" w:type="dxa"/>
            <w:tcBorders/>
            <w:vAlign w:val="bottom"/>
          </w:tcPr>
          <w:p>
            <w:pPr>
              <w:pStyle w:val="TableContents"/>
              <w:bidi w:val="0"/>
              <w:spacing w:before="0" w:after="283"/>
              <w:jc w:val="left"/>
              <w:rPr/>
            </w:pPr>
            <w:r>
              <w:rPr/>
              <w:t>  </w:t>
            </w:r>
          </w:p>
        </w:tc>
        <w:tc>
          <w:tcPr>
            <w:tcW w:w="897" w:type="dxa"/>
            <w:tcBorders/>
          </w:tcPr>
          <w:p>
            <w:pPr>
              <w:pStyle w:val="TableContents"/>
              <w:bidi w:val="0"/>
              <w:spacing w:before="0" w:after="283"/>
              <w:jc w:val="center"/>
              <w:rPr/>
            </w:pPr>
            <w:r>
              <w:rPr/>
              <w:t>H1 2024</w:t>
            </w:r>
          </w:p>
        </w:tc>
        <w:tc>
          <w:tcPr>
            <w:tcW w:w="129"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870" w:type="dxa"/>
            <w:tcBorders/>
          </w:tcPr>
          <w:p>
            <w:pPr>
              <w:pStyle w:val="TableContents"/>
              <w:bidi w:val="0"/>
              <w:spacing w:before="0" w:after="283"/>
              <w:jc w:val="right"/>
              <w:rPr/>
            </w:pPr>
            <w:r>
              <w:rPr/>
              <w:t>5,300</w:t>
            </w:r>
          </w:p>
        </w:tc>
        <w:tc>
          <w:tcPr>
            <w:tcW w:w="60"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1110" w:type="dxa"/>
            <w:tcBorders/>
            <w:vAlign w:val="bottom"/>
          </w:tcPr>
          <w:p>
            <w:pPr>
              <w:pStyle w:val="TableContents"/>
              <w:bidi w:val="0"/>
              <w:jc w:val="right"/>
              <w:rPr/>
            </w:pPr>
            <w:r>
              <w:rPr/>
              <w:t>42,900</w:t>
            </w:r>
          </w:p>
          <w:p>
            <w:pPr>
              <w:pStyle w:val="TableContents"/>
              <w:bidi w:val="0"/>
              <w:spacing w:before="0" w:after="0"/>
              <w:jc w:val="right"/>
              <w:rPr>
                <w:rFonts w:ascii="Times New Roman" w:hAnsi="Times New Roman"/>
                <w:sz w:val="20"/>
              </w:rPr>
            </w:pPr>
            <w:r>
              <w:rPr>
                <w:rFonts w:ascii="Times New Roman" w:hAnsi="Times New Roman"/>
                <w:sz w:val="20"/>
              </w:rPr>
              <w:t>39,000</w:t>
            </w:r>
          </w:p>
          <w:p>
            <w:pPr>
              <w:pStyle w:val="TableContents"/>
              <w:bidi w:val="0"/>
              <w:spacing w:before="0" w:after="0"/>
              <w:jc w:val="right"/>
              <w:rPr>
                <w:rFonts w:ascii="Times New Roman" w:hAnsi="Times New Roman"/>
                <w:sz w:val="20"/>
              </w:rPr>
            </w:pPr>
            <w:r>
              <w:rPr>
                <w:rFonts w:ascii="Times New Roman" w:hAnsi="Times New Roman"/>
                <w:sz w:val="20"/>
              </w:rPr>
              <w:t>37,050</w:t>
            </w:r>
          </w:p>
          <w:p>
            <w:pPr>
              <w:pStyle w:val="TableContents"/>
              <w:bidi w:val="0"/>
              <w:spacing w:before="0" w:after="0"/>
              <w:jc w:val="right"/>
              <w:rPr>
                <w:rFonts w:ascii="Times New Roman" w:hAnsi="Times New Roman"/>
                <w:sz w:val="20"/>
              </w:rPr>
            </w:pPr>
            <w:r>
              <w:rPr>
                <w:rFonts w:ascii="Times New Roman" w:hAnsi="Times New Roman"/>
                <w:sz w:val="20"/>
              </w:rPr>
              <w:t>35,100</w:t>
            </w:r>
          </w:p>
          <w:p>
            <w:pPr>
              <w:pStyle w:val="TableContents"/>
              <w:bidi w:val="0"/>
              <w:spacing w:before="0" w:after="0"/>
              <w:jc w:val="right"/>
              <w:rPr>
                <w:rFonts w:ascii="Times New Roman" w:hAnsi="Times New Roman"/>
                <w:sz w:val="20"/>
              </w:rPr>
            </w:pPr>
            <w:r>
              <w:rPr>
                <w:rFonts w:ascii="Times New Roman" w:hAnsi="Times New Roman"/>
                <w:sz w:val="20"/>
              </w:rPr>
              <w:t>31,200</w:t>
            </w:r>
          </w:p>
          <w:p>
            <w:pPr>
              <w:pStyle w:val="TableContents"/>
              <w:bidi w:val="0"/>
              <w:spacing w:before="0" w:after="20"/>
              <w:jc w:val="right"/>
              <w:rPr>
                <w:rFonts w:ascii="Times New Roman" w:hAnsi="Times New Roman"/>
                <w:sz w:val="20"/>
              </w:rPr>
            </w:pPr>
            <w:r>
              <w:rPr>
                <w:rFonts w:ascii="Times New Roman" w:hAnsi="Times New Roman"/>
                <w:sz w:val="20"/>
              </w:rPr>
              <w:t>37,050</w:t>
            </w:r>
          </w:p>
        </w:tc>
        <w:tc>
          <w:tcPr>
            <w:tcW w:w="60" w:type="dxa"/>
            <w:tcBorders/>
            <w:vAlign w:val="bottom"/>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9" w:type="dxa"/>
            <w:tcBorders/>
            <w:vAlign w:val="bottom"/>
          </w:tcPr>
          <w:p>
            <w:pPr>
              <w:pStyle w:val="TableContents"/>
              <w:bidi w:val="0"/>
              <w:spacing w:before="0" w:after="283"/>
              <w:jc w:val="left"/>
              <w:rPr/>
            </w:pPr>
            <w:r>
              <w:rPr/>
              <w:t>  </w:t>
            </w:r>
          </w:p>
        </w:tc>
        <w:tc>
          <w:tcPr>
            <w:tcW w:w="920" w:type="dxa"/>
            <w:tcBorders/>
          </w:tcPr>
          <w:p>
            <w:pPr>
              <w:pStyle w:val="TableContents"/>
              <w:bidi w:val="0"/>
              <w:spacing w:before="0" w:after="283"/>
              <w:jc w:val="center"/>
              <w:rPr/>
            </w:pPr>
            <w:r>
              <w:rPr/>
              <w:t>No</w:t>
              <w:br/>
              <w:t>No</w:t>
              <w:br/>
              <w:t>No</w:t>
              <w:br/>
              <w:t>No</w:t>
              <w:br/>
              <w:t>No</w:t>
              <w:br/>
              <w:t>No</w:t>
            </w:r>
          </w:p>
        </w:tc>
        <w:tc>
          <w:tcPr>
            <w:tcW w:w="129" w:type="dxa"/>
            <w:tcBorders/>
            <w:vAlign w:val="bottom"/>
          </w:tcPr>
          <w:p>
            <w:pPr>
              <w:pStyle w:val="TableContents"/>
              <w:bidi w:val="0"/>
              <w:spacing w:before="0" w:after="283"/>
              <w:jc w:val="left"/>
              <w:rPr/>
            </w:pPr>
            <w:r>
              <w:rPr/>
              <w:t>  </w:t>
            </w:r>
          </w:p>
        </w:tc>
        <w:tc>
          <w:tcPr>
            <w:tcW w:w="1143" w:type="dxa"/>
            <w:tcBorders/>
          </w:tcPr>
          <w:p>
            <w:pPr>
              <w:pStyle w:val="TableContents"/>
              <w:bidi w:val="0"/>
              <w:spacing w:before="0" w:after="283"/>
              <w:jc w:val="center"/>
              <w:rPr/>
            </w:pPr>
            <w:r>
              <w:rPr/>
              <w:t>May-25</w:t>
              <w:br/>
              <w:t>May-26</w:t>
              <w:br/>
              <w:t>May-27</w:t>
              <w:br/>
              <w:t>May-28</w:t>
              <w:br/>
              <w:t>May-29</w:t>
              <w:br/>
              <w:t>Jul-29</w:t>
            </w:r>
          </w:p>
        </w:tc>
      </w:tr>
      <w:tr>
        <w:trPr/>
        <w:tc>
          <w:tcPr>
            <w:tcW w:w="26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TBN V</w:t>
            </w:r>
          </w:p>
        </w:tc>
        <w:tc>
          <w:tcPr>
            <w:tcW w:w="129" w:type="dxa"/>
            <w:tcBorders/>
            <w:shd w:fill="CCEEFF" w:val="clear"/>
            <w:vAlign w:val="bottom"/>
          </w:tcPr>
          <w:p>
            <w:pPr>
              <w:pStyle w:val="TableContents"/>
              <w:bidi w:val="0"/>
              <w:spacing w:before="0" w:after="283"/>
              <w:jc w:val="left"/>
              <w:rPr/>
            </w:pPr>
            <w:r>
              <w:rPr/>
              <w:t>  </w:t>
            </w:r>
          </w:p>
        </w:tc>
        <w:tc>
          <w:tcPr>
            <w:tcW w:w="1381" w:type="dxa"/>
            <w:tcBorders/>
            <w:shd w:fill="CCEEFF" w:val="clear"/>
          </w:tcPr>
          <w:p>
            <w:pPr>
              <w:pStyle w:val="TableContents"/>
              <w:bidi w:val="0"/>
              <w:spacing w:before="0" w:after="283"/>
              <w:jc w:val="center"/>
              <w:rPr/>
            </w:pPr>
            <w:r>
              <w:rPr/>
              <w:t>Containership</w:t>
            </w:r>
          </w:p>
        </w:tc>
        <w:tc>
          <w:tcPr>
            <w:tcW w:w="129" w:type="dxa"/>
            <w:tcBorders/>
            <w:shd w:fill="CCEEFF" w:val="clear"/>
            <w:vAlign w:val="bottom"/>
          </w:tcPr>
          <w:p>
            <w:pPr>
              <w:pStyle w:val="TableContents"/>
              <w:bidi w:val="0"/>
              <w:spacing w:before="0" w:after="283"/>
              <w:jc w:val="left"/>
              <w:rPr/>
            </w:pPr>
            <w:r>
              <w:rPr/>
              <w:t>  </w:t>
            </w:r>
          </w:p>
        </w:tc>
        <w:tc>
          <w:tcPr>
            <w:tcW w:w="897" w:type="dxa"/>
            <w:tcBorders/>
            <w:shd w:fill="CCEEFF" w:val="clear"/>
          </w:tcPr>
          <w:p>
            <w:pPr>
              <w:pStyle w:val="TableContents"/>
              <w:bidi w:val="0"/>
              <w:spacing w:before="0" w:after="283"/>
              <w:jc w:val="center"/>
              <w:rPr/>
            </w:pPr>
            <w:r>
              <w:rPr/>
              <w:t>H1 2024</w:t>
            </w:r>
          </w:p>
        </w:tc>
        <w:tc>
          <w:tcPr>
            <w:tcW w:w="129" w:type="dxa"/>
            <w:tcBorders/>
            <w:shd w:fill="CCEEFF" w:val="clear"/>
            <w:vAlign w:val="bottom"/>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870" w:type="dxa"/>
            <w:tcBorders/>
            <w:shd w:fill="CCEEFF" w:val="clear"/>
          </w:tcPr>
          <w:p>
            <w:pPr>
              <w:pStyle w:val="TableContents"/>
              <w:bidi w:val="0"/>
              <w:spacing w:before="0" w:after="283"/>
              <w:jc w:val="right"/>
              <w:rPr/>
            </w:pPr>
            <w:r>
              <w:rPr/>
              <w:t>5,300</w:t>
            </w:r>
          </w:p>
        </w:tc>
        <w:tc>
          <w:tcPr>
            <w:tcW w:w="60" w:type="dxa"/>
            <w:tcBorders/>
            <w:shd w:fill="CCEEFF" w:val="clear"/>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1110" w:type="dxa"/>
            <w:tcBorders/>
            <w:shd w:fill="CCEEFF" w:val="clear"/>
            <w:vAlign w:val="bottom"/>
          </w:tcPr>
          <w:p>
            <w:pPr>
              <w:pStyle w:val="TableContents"/>
              <w:bidi w:val="0"/>
              <w:jc w:val="right"/>
              <w:rPr/>
            </w:pPr>
            <w:r>
              <w:rPr/>
              <w:t>42,900</w:t>
            </w:r>
          </w:p>
          <w:p>
            <w:pPr>
              <w:pStyle w:val="TableContents"/>
              <w:bidi w:val="0"/>
              <w:spacing w:before="0" w:after="0"/>
              <w:jc w:val="right"/>
              <w:rPr>
                <w:rFonts w:ascii="Times New Roman" w:hAnsi="Times New Roman"/>
                <w:sz w:val="20"/>
              </w:rPr>
            </w:pPr>
            <w:r>
              <w:rPr>
                <w:rFonts w:ascii="Times New Roman" w:hAnsi="Times New Roman"/>
                <w:sz w:val="20"/>
              </w:rPr>
              <w:t>39,000</w:t>
            </w:r>
          </w:p>
          <w:p>
            <w:pPr>
              <w:pStyle w:val="TableContents"/>
              <w:bidi w:val="0"/>
              <w:spacing w:before="0" w:after="0"/>
              <w:jc w:val="right"/>
              <w:rPr>
                <w:rFonts w:ascii="Times New Roman" w:hAnsi="Times New Roman"/>
                <w:sz w:val="20"/>
              </w:rPr>
            </w:pPr>
            <w:r>
              <w:rPr>
                <w:rFonts w:ascii="Times New Roman" w:hAnsi="Times New Roman"/>
                <w:sz w:val="20"/>
              </w:rPr>
              <w:t>37,050</w:t>
            </w:r>
          </w:p>
          <w:p>
            <w:pPr>
              <w:pStyle w:val="TableContents"/>
              <w:bidi w:val="0"/>
              <w:spacing w:before="0" w:after="0"/>
              <w:jc w:val="right"/>
              <w:rPr>
                <w:rFonts w:ascii="Times New Roman" w:hAnsi="Times New Roman"/>
                <w:sz w:val="20"/>
              </w:rPr>
            </w:pPr>
            <w:r>
              <w:rPr>
                <w:rFonts w:ascii="Times New Roman" w:hAnsi="Times New Roman"/>
                <w:sz w:val="20"/>
              </w:rPr>
              <w:t>35,100</w:t>
            </w:r>
          </w:p>
          <w:p>
            <w:pPr>
              <w:pStyle w:val="TableContents"/>
              <w:bidi w:val="0"/>
              <w:spacing w:before="0" w:after="0"/>
              <w:jc w:val="right"/>
              <w:rPr>
                <w:rFonts w:ascii="Times New Roman" w:hAnsi="Times New Roman"/>
                <w:sz w:val="20"/>
              </w:rPr>
            </w:pPr>
            <w:r>
              <w:rPr>
                <w:rFonts w:ascii="Times New Roman" w:hAnsi="Times New Roman"/>
                <w:sz w:val="20"/>
              </w:rPr>
              <w:t>31,200</w:t>
            </w:r>
          </w:p>
          <w:p>
            <w:pPr>
              <w:pStyle w:val="TableContents"/>
              <w:bidi w:val="0"/>
              <w:spacing w:before="0" w:after="20"/>
              <w:jc w:val="right"/>
              <w:rPr>
                <w:rFonts w:ascii="Times New Roman" w:hAnsi="Times New Roman"/>
                <w:sz w:val="20"/>
              </w:rPr>
            </w:pPr>
            <w:r>
              <w:rPr>
                <w:rFonts w:ascii="Times New Roman" w:hAnsi="Times New Roman"/>
                <w:sz w:val="20"/>
              </w:rPr>
              <w:t>37,050</w:t>
            </w:r>
          </w:p>
        </w:tc>
        <w:tc>
          <w:tcPr>
            <w:tcW w:w="60" w:type="dxa"/>
            <w:tcBorders/>
            <w:shd w:fill="CCEEFF" w:val="clear"/>
            <w:vAlign w:val="bottom"/>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20" w:type="dxa"/>
            <w:tcBorders/>
            <w:shd w:fill="CCEEFF" w:val="clear"/>
          </w:tcPr>
          <w:p>
            <w:pPr>
              <w:pStyle w:val="TableContents"/>
              <w:bidi w:val="0"/>
              <w:spacing w:before="0" w:after="283"/>
              <w:jc w:val="center"/>
              <w:rPr/>
            </w:pPr>
            <w:r>
              <w:rPr/>
              <w:t>No</w:t>
              <w:br/>
              <w:t>No</w:t>
              <w:br/>
              <w:t>No</w:t>
              <w:br/>
              <w:t>No</w:t>
              <w:br/>
              <w:t>No</w:t>
              <w:br/>
              <w:t>No</w:t>
            </w:r>
          </w:p>
        </w:tc>
        <w:tc>
          <w:tcPr>
            <w:tcW w:w="129" w:type="dxa"/>
            <w:tcBorders/>
            <w:shd w:fill="CCEEFF" w:val="clear"/>
            <w:vAlign w:val="bottom"/>
          </w:tcPr>
          <w:p>
            <w:pPr>
              <w:pStyle w:val="TableContents"/>
              <w:bidi w:val="0"/>
              <w:spacing w:before="0" w:after="283"/>
              <w:jc w:val="left"/>
              <w:rPr/>
            </w:pPr>
            <w:r>
              <w:rPr/>
              <w:t>  </w:t>
            </w:r>
          </w:p>
        </w:tc>
        <w:tc>
          <w:tcPr>
            <w:tcW w:w="1143" w:type="dxa"/>
            <w:tcBorders/>
            <w:shd w:fill="CCEEFF" w:val="clear"/>
          </w:tcPr>
          <w:p>
            <w:pPr>
              <w:pStyle w:val="TableContents"/>
              <w:bidi w:val="0"/>
              <w:spacing w:before="0" w:after="283"/>
              <w:jc w:val="center"/>
              <w:rPr/>
            </w:pPr>
            <w:r>
              <w:rPr/>
              <w:t>Jun-25</w:t>
              <w:br/>
              <w:t>Jun-26</w:t>
              <w:br/>
              <w:t>Jun-27</w:t>
              <w:br/>
              <w:t>Jun-28</w:t>
              <w:br/>
              <w:t>Jun-29</w:t>
              <w:br/>
              <w:t>Aug-29</w:t>
            </w:r>
          </w:p>
        </w:tc>
      </w:tr>
      <w:tr>
        <w:trPr/>
        <w:tc>
          <w:tcPr>
            <w:tcW w:w="2677" w:type="dxa"/>
            <w:tcBorders/>
          </w:tcPr>
          <w:p>
            <w:pPr>
              <w:pStyle w:val="TableContents"/>
              <w:bidi w:val="0"/>
              <w:spacing w:before="0" w:after="0"/>
              <w:jc w:val="left"/>
              <w:rPr>
                <w:rFonts w:ascii="Times New Roman" w:hAnsi="Times New Roman"/>
                <w:sz w:val="20"/>
              </w:rPr>
            </w:pPr>
            <w:r>
              <w:rPr>
                <w:rFonts w:ascii="Times New Roman" w:hAnsi="Times New Roman"/>
                <w:sz w:val="20"/>
              </w:rPr>
              <w:t>TBN IX</w:t>
            </w:r>
          </w:p>
        </w:tc>
        <w:tc>
          <w:tcPr>
            <w:tcW w:w="129" w:type="dxa"/>
            <w:tcBorders/>
            <w:vAlign w:val="bottom"/>
          </w:tcPr>
          <w:p>
            <w:pPr>
              <w:pStyle w:val="TableContents"/>
              <w:bidi w:val="0"/>
              <w:spacing w:before="0" w:after="283"/>
              <w:jc w:val="left"/>
              <w:rPr/>
            </w:pPr>
            <w:r>
              <w:rPr/>
              <w:t>  </w:t>
            </w:r>
          </w:p>
        </w:tc>
        <w:tc>
          <w:tcPr>
            <w:tcW w:w="1381" w:type="dxa"/>
            <w:tcBorders/>
          </w:tcPr>
          <w:p>
            <w:pPr>
              <w:pStyle w:val="TableContents"/>
              <w:bidi w:val="0"/>
              <w:spacing w:before="0" w:after="283"/>
              <w:jc w:val="center"/>
              <w:rPr/>
            </w:pPr>
            <w:r>
              <w:rPr/>
              <w:t>Containership</w:t>
            </w:r>
          </w:p>
        </w:tc>
        <w:tc>
          <w:tcPr>
            <w:tcW w:w="129" w:type="dxa"/>
            <w:tcBorders/>
            <w:vAlign w:val="bottom"/>
          </w:tcPr>
          <w:p>
            <w:pPr>
              <w:pStyle w:val="TableContents"/>
              <w:bidi w:val="0"/>
              <w:spacing w:before="0" w:after="283"/>
              <w:jc w:val="left"/>
              <w:rPr/>
            </w:pPr>
            <w:r>
              <w:rPr/>
              <w:t>  </w:t>
            </w:r>
          </w:p>
        </w:tc>
        <w:tc>
          <w:tcPr>
            <w:tcW w:w="897" w:type="dxa"/>
            <w:tcBorders/>
          </w:tcPr>
          <w:p>
            <w:pPr>
              <w:pStyle w:val="TableContents"/>
              <w:bidi w:val="0"/>
              <w:spacing w:before="0" w:after="283"/>
              <w:jc w:val="center"/>
              <w:rPr/>
            </w:pPr>
            <w:r>
              <w:rPr/>
              <w:t>H1 2024</w:t>
            </w:r>
          </w:p>
        </w:tc>
        <w:tc>
          <w:tcPr>
            <w:tcW w:w="129"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870" w:type="dxa"/>
            <w:tcBorders/>
          </w:tcPr>
          <w:p>
            <w:pPr>
              <w:pStyle w:val="TableContents"/>
              <w:bidi w:val="0"/>
              <w:spacing w:before="0" w:after="283"/>
              <w:jc w:val="right"/>
              <w:rPr/>
            </w:pPr>
            <w:r>
              <w:rPr/>
              <w:t>5,300</w:t>
            </w:r>
          </w:p>
        </w:tc>
        <w:tc>
          <w:tcPr>
            <w:tcW w:w="60"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1110" w:type="dxa"/>
            <w:tcBorders/>
            <w:vAlign w:val="bottom"/>
          </w:tcPr>
          <w:p>
            <w:pPr>
              <w:pStyle w:val="TableContents"/>
              <w:bidi w:val="0"/>
              <w:jc w:val="right"/>
              <w:rPr/>
            </w:pPr>
            <w:r>
              <w:rPr/>
              <w:t>42,900</w:t>
            </w:r>
          </w:p>
          <w:p>
            <w:pPr>
              <w:pStyle w:val="TableContents"/>
              <w:bidi w:val="0"/>
              <w:spacing w:before="0" w:after="0"/>
              <w:jc w:val="right"/>
              <w:rPr>
                <w:rFonts w:ascii="Times New Roman" w:hAnsi="Times New Roman"/>
                <w:sz w:val="20"/>
              </w:rPr>
            </w:pPr>
            <w:r>
              <w:rPr>
                <w:rFonts w:ascii="Times New Roman" w:hAnsi="Times New Roman"/>
                <w:sz w:val="20"/>
              </w:rPr>
              <w:t>39,000</w:t>
            </w:r>
          </w:p>
          <w:p>
            <w:pPr>
              <w:pStyle w:val="TableContents"/>
              <w:bidi w:val="0"/>
              <w:spacing w:before="0" w:after="0"/>
              <w:jc w:val="right"/>
              <w:rPr>
                <w:rFonts w:ascii="Times New Roman" w:hAnsi="Times New Roman"/>
                <w:sz w:val="20"/>
              </w:rPr>
            </w:pPr>
            <w:r>
              <w:rPr>
                <w:rFonts w:ascii="Times New Roman" w:hAnsi="Times New Roman"/>
                <w:sz w:val="20"/>
              </w:rPr>
              <w:t>37,050</w:t>
            </w:r>
          </w:p>
          <w:p>
            <w:pPr>
              <w:pStyle w:val="TableContents"/>
              <w:bidi w:val="0"/>
              <w:spacing w:before="0" w:after="0"/>
              <w:jc w:val="right"/>
              <w:rPr>
                <w:rFonts w:ascii="Times New Roman" w:hAnsi="Times New Roman"/>
                <w:sz w:val="20"/>
              </w:rPr>
            </w:pPr>
            <w:r>
              <w:rPr>
                <w:rFonts w:ascii="Times New Roman" w:hAnsi="Times New Roman"/>
                <w:sz w:val="20"/>
              </w:rPr>
              <w:t>35,100</w:t>
            </w:r>
          </w:p>
          <w:p>
            <w:pPr>
              <w:pStyle w:val="TableContents"/>
              <w:bidi w:val="0"/>
              <w:spacing w:before="0" w:after="0"/>
              <w:jc w:val="right"/>
              <w:rPr>
                <w:rFonts w:ascii="Times New Roman" w:hAnsi="Times New Roman"/>
                <w:sz w:val="20"/>
              </w:rPr>
            </w:pPr>
            <w:r>
              <w:rPr>
                <w:rFonts w:ascii="Times New Roman" w:hAnsi="Times New Roman"/>
                <w:sz w:val="20"/>
              </w:rPr>
              <w:t>31,200</w:t>
            </w:r>
          </w:p>
          <w:p>
            <w:pPr>
              <w:pStyle w:val="TableContents"/>
              <w:bidi w:val="0"/>
              <w:spacing w:before="0" w:after="20"/>
              <w:jc w:val="right"/>
              <w:rPr>
                <w:rFonts w:ascii="Times New Roman" w:hAnsi="Times New Roman"/>
                <w:sz w:val="20"/>
              </w:rPr>
            </w:pPr>
            <w:r>
              <w:rPr>
                <w:rFonts w:ascii="Times New Roman" w:hAnsi="Times New Roman"/>
                <w:sz w:val="20"/>
              </w:rPr>
              <w:t>37,050</w:t>
            </w:r>
          </w:p>
        </w:tc>
        <w:tc>
          <w:tcPr>
            <w:tcW w:w="60" w:type="dxa"/>
            <w:tcBorders/>
            <w:vAlign w:val="bottom"/>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9" w:type="dxa"/>
            <w:tcBorders/>
            <w:vAlign w:val="bottom"/>
          </w:tcPr>
          <w:p>
            <w:pPr>
              <w:pStyle w:val="TableContents"/>
              <w:bidi w:val="0"/>
              <w:spacing w:before="0" w:after="283"/>
              <w:jc w:val="left"/>
              <w:rPr/>
            </w:pPr>
            <w:r>
              <w:rPr/>
              <w:t>  </w:t>
            </w:r>
          </w:p>
        </w:tc>
        <w:tc>
          <w:tcPr>
            <w:tcW w:w="920" w:type="dxa"/>
            <w:tcBorders/>
          </w:tcPr>
          <w:p>
            <w:pPr>
              <w:pStyle w:val="TableContents"/>
              <w:bidi w:val="0"/>
              <w:spacing w:before="0" w:after="283"/>
              <w:jc w:val="center"/>
              <w:rPr/>
            </w:pPr>
            <w:r>
              <w:rPr/>
              <w:t>No</w:t>
              <w:br/>
              <w:t>No</w:t>
              <w:br/>
              <w:t>No</w:t>
              <w:br/>
              <w:t>No</w:t>
              <w:br/>
              <w:t>No</w:t>
              <w:br/>
              <w:t>No</w:t>
            </w:r>
          </w:p>
        </w:tc>
        <w:tc>
          <w:tcPr>
            <w:tcW w:w="129" w:type="dxa"/>
            <w:tcBorders/>
            <w:vAlign w:val="bottom"/>
          </w:tcPr>
          <w:p>
            <w:pPr>
              <w:pStyle w:val="TableContents"/>
              <w:bidi w:val="0"/>
              <w:spacing w:before="0" w:after="283"/>
              <w:jc w:val="left"/>
              <w:rPr/>
            </w:pPr>
            <w:r>
              <w:rPr/>
              <w:t>  </w:t>
            </w:r>
          </w:p>
        </w:tc>
        <w:tc>
          <w:tcPr>
            <w:tcW w:w="1143" w:type="dxa"/>
            <w:tcBorders/>
          </w:tcPr>
          <w:p>
            <w:pPr>
              <w:pStyle w:val="TableContents"/>
              <w:bidi w:val="0"/>
              <w:spacing w:before="0" w:after="283"/>
              <w:jc w:val="center"/>
              <w:rPr/>
            </w:pPr>
            <w:r>
              <w:rPr/>
              <w:t>Mar-25</w:t>
              <w:br/>
              <w:t>Mar-26</w:t>
              <w:br/>
              <w:t>Mar-27</w:t>
              <w:br/>
              <w:t>Mar-28</w:t>
              <w:br/>
              <w:t>Mar-29</w:t>
              <w:br/>
              <w:t>May-29</w:t>
            </w:r>
          </w:p>
        </w:tc>
      </w:tr>
      <w:tr>
        <w:trPr/>
        <w:tc>
          <w:tcPr>
            <w:tcW w:w="26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TBN VI</w:t>
            </w:r>
          </w:p>
        </w:tc>
        <w:tc>
          <w:tcPr>
            <w:tcW w:w="129" w:type="dxa"/>
            <w:tcBorders/>
            <w:shd w:fill="CCEEFF" w:val="clear"/>
            <w:vAlign w:val="bottom"/>
          </w:tcPr>
          <w:p>
            <w:pPr>
              <w:pStyle w:val="TableContents"/>
              <w:bidi w:val="0"/>
              <w:spacing w:before="0" w:after="283"/>
              <w:jc w:val="left"/>
              <w:rPr/>
            </w:pPr>
            <w:r>
              <w:rPr/>
              <w:t>  </w:t>
            </w:r>
          </w:p>
        </w:tc>
        <w:tc>
          <w:tcPr>
            <w:tcW w:w="1381" w:type="dxa"/>
            <w:tcBorders/>
            <w:shd w:fill="CCEEFF" w:val="clear"/>
          </w:tcPr>
          <w:p>
            <w:pPr>
              <w:pStyle w:val="TableContents"/>
              <w:bidi w:val="0"/>
              <w:spacing w:before="0" w:after="283"/>
              <w:jc w:val="center"/>
              <w:rPr/>
            </w:pPr>
            <w:r>
              <w:rPr/>
              <w:t>Containership</w:t>
            </w:r>
          </w:p>
        </w:tc>
        <w:tc>
          <w:tcPr>
            <w:tcW w:w="129" w:type="dxa"/>
            <w:tcBorders/>
            <w:shd w:fill="CCEEFF" w:val="clear"/>
            <w:vAlign w:val="bottom"/>
          </w:tcPr>
          <w:p>
            <w:pPr>
              <w:pStyle w:val="TableContents"/>
              <w:bidi w:val="0"/>
              <w:spacing w:before="0" w:after="283"/>
              <w:jc w:val="left"/>
              <w:rPr/>
            </w:pPr>
            <w:r>
              <w:rPr/>
              <w:t>  </w:t>
            </w:r>
          </w:p>
        </w:tc>
        <w:tc>
          <w:tcPr>
            <w:tcW w:w="897" w:type="dxa"/>
            <w:tcBorders/>
            <w:shd w:fill="CCEEFF" w:val="clear"/>
          </w:tcPr>
          <w:p>
            <w:pPr>
              <w:pStyle w:val="TableContents"/>
              <w:bidi w:val="0"/>
              <w:spacing w:before="0" w:after="283"/>
              <w:jc w:val="center"/>
              <w:rPr/>
            </w:pPr>
            <w:r>
              <w:rPr/>
              <w:t>H2 2024</w:t>
            </w:r>
          </w:p>
        </w:tc>
        <w:tc>
          <w:tcPr>
            <w:tcW w:w="129" w:type="dxa"/>
            <w:tcBorders/>
            <w:shd w:fill="CCEEFF" w:val="clear"/>
            <w:vAlign w:val="bottom"/>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870" w:type="dxa"/>
            <w:tcBorders/>
            <w:shd w:fill="CCEEFF" w:val="clear"/>
          </w:tcPr>
          <w:p>
            <w:pPr>
              <w:pStyle w:val="TableContents"/>
              <w:bidi w:val="0"/>
              <w:spacing w:before="0" w:after="283"/>
              <w:jc w:val="right"/>
              <w:rPr/>
            </w:pPr>
            <w:r>
              <w:rPr/>
              <w:t>5,300</w:t>
            </w:r>
          </w:p>
        </w:tc>
        <w:tc>
          <w:tcPr>
            <w:tcW w:w="60" w:type="dxa"/>
            <w:tcBorders/>
            <w:shd w:fill="CCEEFF" w:val="clear"/>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1110" w:type="dxa"/>
            <w:tcBorders/>
            <w:shd w:fill="CCEEFF" w:val="clear"/>
            <w:vAlign w:val="bottom"/>
          </w:tcPr>
          <w:p>
            <w:pPr>
              <w:pStyle w:val="TableContents"/>
              <w:bidi w:val="0"/>
              <w:jc w:val="right"/>
              <w:rPr/>
            </w:pPr>
            <w:r>
              <w:rPr/>
              <w:t>42,900</w:t>
            </w:r>
          </w:p>
          <w:p>
            <w:pPr>
              <w:pStyle w:val="TableContents"/>
              <w:bidi w:val="0"/>
              <w:spacing w:before="0" w:after="0"/>
              <w:jc w:val="right"/>
              <w:rPr>
                <w:rFonts w:ascii="Times New Roman" w:hAnsi="Times New Roman"/>
                <w:sz w:val="20"/>
              </w:rPr>
            </w:pPr>
            <w:r>
              <w:rPr>
                <w:rFonts w:ascii="Times New Roman" w:hAnsi="Times New Roman"/>
                <w:sz w:val="20"/>
              </w:rPr>
              <w:t>39,000</w:t>
            </w:r>
          </w:p>
          <w:p>
            <w:pPr>
              <w:pStyle w:val="TableContents"/>
              <w:bidi w:val="0"/>
              <w:spacing w:before="0" w:after="0"/>
              <w:jc w:val="right"/>
              <w:rPr>
                <w:rFonts w:ascii="Times New Roman" w:hAnsi="Times New Roman"/>
                <w:sz w:val="20"/>
              </w:rPr>
            </w:pPr>
            <w:r>
              <w:rPr>
                <w:rFonts w:ascii="Times New Roman" w:hAnsi="Times New Roman"/>
                <w:sz w:val="20"/>
              </w:rPr>
              <w:t>37,050</w:t>
            </w:r>
          </w:p>
          <w:p>
            <w:pPr>
              <w:pStyle w:val="TableContents"/>
              <w:bidi w:val="0"/>
              <w:spacing w:before="0" w:after="0"/>
              <w:jc w:val="right"/>
              <w:rPr>
                <w:rFonts w:ascii="Times New Roman" w:hAnsi="Times New Roman"/>
                <w:sz w:val="20"/>
              </w:rPr>
            </w:pPr>
            <w:r>
              <w:rPr>
                <w:rFonts w:ascii="Times New Roman" w:hAnsi="Times New Roman"/>
                <w:sz w:val="20"/>
              </w:rPr>
              <w:t>35,100</w:t>
            </w:r>
          </w:p>
          <w:p>
            <w:pPr>
              <w:pStyle w:val="TableContents"/>
              <w:bidi w:val="0"/>
              <w:spacing w:before="0" w:after="0"/>
              <w:jc w:val="right"/>
              <w:rPr>
                <w:rFonts w:ascii="Times New Roman" w:hAnsi="Times New Roman"/>
                <w:sz w:val="20"/>
              </w:rPr>
            </w:pPr>
            <w:r>
              <w:rPr>
                <w:rFonts w:ascii="Times New Roman" w:hAnsi="Times New Roman"/>
                <w:sz w:val="20"/>
              </w:rPr>
              <w:t>31,200</w:t>
            </w:r>
          </w:p>
          <w:p>
            <w:pPr>
              <w:pStyle w:val="TableContents"/>
              <w:bidi w:val="0"/>
              <w:spacing w:before="0" w:after="20"/>
              <w:jc w:val="right"/>
              <w:rPr>
                <w:rFonts w:ascii="Times New Roman" w:hAnsi="Times New Roman"/>
                <w:sz w:val="20"/>
              </w:rPr>
            </w:pPr>
            <w:r>
              <w:rPr>
                <w:rFonts w:ascii="Times New Roman" w:hAnsi="Times New Roman"/>
                <w:sz w:val="20"/>
              </w:rPr>
              <w:t>37,050</w:t>
            </w:r>
          </w:p>
        </w:tc>
        <w:tc>
          <w:tcPr>
            <w:tcW w:w="60" w:type="dxa"/>
            <w:tcBorders/>
            <w:shd w:fill="CCEEFF" w:val="clear"/>
            <w:vAlign w:val="bottom"/>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20" w:type="dxa"/>
            <w:tcBorders/>
            <w:shd w:fill="CCEEFF" w:val="clear"/>
          </w:tcPr>
          <w:p>
            <w:pPr>
              <w:pStyle w:val="TableContents"/>
              <w:bidi w:val="0"/>
              <w:spacing w:before="0" w:after="283"/>
              <w:jc w:val="center"/>
              <w:rPr/>
            </w:pPr>
            <w:r>
              <w:rPr/>
              <w:t>No</w:t>
              <w:br/>
              <w:t>No</w:t>
              <w:br/>
              <w:t>No</w:t>
              <w:br/>
              <w:t>No</w:t>
              <w:br/>
              <w:t>No</w:t>
              <w:br/>
              <w:t>No</w:t>
            </w:r>
          </w:p>
        </w:tc>
        <w:tc>
          <w:tcPr>
            <w:tcW w:w="129" w:type="dxa"/>
            <w:tcBorders/>
            <w:shd w:fill="CCEEFF" w:val="clear"/>
            <w:vAlign w:val="bottom"/>
          </w:tcPr>
          <w:p>
            <w:pPr>
              <w:pStyle w:val="TableContents"/>
              <w:bidi w:val="0"/>
              <w:spacing w:before="0" w:after="283"/>
              <w:jc w:val="left"/>
              <w:rPr/>
            </w:pPr>
            <w:r>
              <w:rPr/>
              <w:t>  </w:t>
            </w:r>
          </w:p>
        </w:tc>
        <w:tc>
          <w:tcPr>
            <w:tcW w:w="1143" w:type="dxa"/>
            <w:tcBorders/>
            <w:shd w:fill="CCEEFF" w:val="clear"/>
          </w:tcPr>
          <w:p>
            <w:pPr>
              <w:pStyle w:val="TableContents"/>
              <w:bidi w:val="0"/>
              <w:spacing w:before="0" w:after="283"/>
              <w:jc w:val="center"/>
              <w:rPr/>
            </w:pPr>
            <w:r>
              <w:rPr/>
              <w:t>Aug-25</w:t>
              <w:br/>
              <w:t>Aug-26</w:t>
              <w:br/>
              <w:t>Aug-27</w:t>
              <w:br/>
              <w:t>Aug-28</w:t>
              <w:br/>
              <w:t>Aug-29</w:t>
              <w:br/>
              <w:t>Oct-29</w:t>
            </w:r>
          </w:p>
        </w:tc>
      </w:tr>
      <w:tr>
        <w:trPr/>
        <w:tc>
          <w:tcPr>
            <w:tcW w:w="2677" w:type="dxa"/>
            <w:tcBorders/>
          </w:tcPr>
          <w:p>
            <w:pPr>
              <w:pStyle w:val="TableContents"/>
              <w:bidi w:val="0"/>
              <w:spacing w:before="0" w:after="0"/>
              <w:jc w:val="left"/>
              <w:rPr>
                <w:rFonts w:ascii="Times New Roman" w:hAnsi="Times New Roman"/>
                <w:sz w:val="20"/>
              </w:rPr>
            </w:pPr>
            <w:r>
              <w:rPr>
                <w:rFonts w:ascii="Times New Roman" w:hAnsi="Times New Roman"/>
                <w:sz w:val="20"/>
              </w:rPr>
              <w:t>TBN VII</w:t>
            </w:r>
          </w:p>
        </w:tc>
        <w:tc>
          <w:tcPr>
            <w:tcW w:w="129" w:type="dxa"/>
            <w:tcBorders/>
            <w:vAlign w:val="bottom"/>
          </w:tcPr>
          <w:p>
            <w:pPr>
              <w:pStyle w:val="TableContents"/>
              <w:bidi w:val="0"/>
              <w:spacing w:before="0" w:after="283"/>
              <w:jc w:val="left"/>
              <w:rPr/>
            </w:pPr>
            <w:r>
              <w:rPr/>
              <w:t>  </w:t>
            </w:r>
          </w:p>
        </w:tc>
        <w:tc>
          <w:tcPr>
            <w:tcW w:w="1381" w:type="dxa"/>
            <w:tcBorders/>
          </w:tcPr>
          <w:p>
            <w:pPr>
              <w:pStyle w:val="TableContents"/>
              <w:bidi w:val="0"/>
              <w:spacing w:before="0" w:after="283"/>
              <w:jc w:val="center"/>
              <w:rPr/>
            </w:pPr>
            <w:r>
              <w:rPr/>
              <w:t>Containership</w:t>
            </w:r>
          </w:p>
        </w:tc>
        <w:tc>
          <w:tcPr>
            <w:tcW w:w="129" w:type="dxa"/>
            <w:tcBorders/>
            <w:vAlign w:val="bottom"/>
          </w:tcPr>
          <w:p>
            <w:pPr>
              <w:pStyle w:val="TableContents"/>
              <w:bidi w:val="0"/>
              <w:spacing w:before="0" w:after="283"/>
              <w:jc w:val="left"/>
              <w:rPr/>
            </w:pPr>
            <w:r>
              <w:rPr/>
              <w:t>  </w:t>
            </w:r>
          </w:p>
        </w:tc>
        <w:tc>
          <w:tcPr>
            <w:tcW w:w="897" w:type="dxa"/>
            <w:tcBorders/>
          </w:tcPr>
          <w:p>
            <w:pPr>
              <w:pStyle w:val="TableContents"/>
              <w:bidi w:val="0"/>
              <w:spacing w:before="0" w:after="283"/>
              <w:jc w:val="center"/>
              <w:rPr/>
            </w:pPr>
            <w:r>
              <w:rPr/>
              <w:t>H2 2024</w:t>
            </w:r>
          </w:p>
        </w:tc>
        <w:tc>
          <w:tcPr>
            <w:tcW w:w="129"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870" w:type="dxa"/>
            <w:tcBorders/>
          </w:tcPr>
          <w:p>
            <w:pPr>
              <w:pStyle w:val="TableContents"/>
              <w:bidi w:val="0"/>
              <w:spacing w:before="0" w:after="283"/>
              <w:jc w:val="right"/>
              <w:rPr/>
            </w:pPr>
            <w:r>
              <w:rPr/>
              <w:t>5,300</w:t>
            </w:r>
          </w:p>
        </w:tc>
        <w:tc>
          <w:tcPr>
            <w:tcW w:w="60"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1110" w:type="dxa"/>
            <w:tcBorders/>
            <w:vAlign w:val="bottom"/>
          </w:tcPr>
          <w:p>
            <w:pPr>
              <w:pStyle w:val="TableContents"/>
              <w:bidi w:val="0"/>
              <w:jc w:val="right"/>
              <w:rPr/>
            </w:pPr>
            <w:r>
              <w:rPr/>
              <w:t>42,900</w:t>
            </w:r>
          </w:p>
          <w:p>
            <w:pPr>
              <w:pStyle w:val="TableContents"/>
              <w:bidi w:val="0"/>
              <w:spacing w:before="0" w:after="0"/>
              <w:jc w:val="right"/>
              <w:rPr>
                <w:rFonts w:ascii="Times New Roman" w:hAnsi="Times New Roman"/>
                <w:sz w:val="20"/>
              </w:rPr>
            </w:pPr>
            <w:r>
              <w:rPr>
                <w:rFonts w:ascii="Times New Roman" w:hAnsi="Times New Roman"/>
                <w:sz w:val="20"/>
              </w:rPr>
              <w:t>39,000</w:t>
            </w:r>
          </w:p>
          <w:p>
            <w:pPr>
              <w:pStyle w:val="TableContents"/>
              <w:bidi w:val="0"/>
              <w:spacing w:before="0" w:after="0"/>
              <w:jc w:val="right"/>
              <w:rPr>
                <w:rFonts w:ascii="Times New Roman" w:hAnsi="Times New Roman"/>
                <w:sz w:val="20"/>
              </w:rPr>
            </w:pPr>
            <w:r>
              <w:rPr>
                <w:rFonts w:ascii="Times New Roman" w:hAnsi="Times New Roman"/>
                <w:sz w:val="20"/>
              </w:rPr>
              <w:t>37,050</w:t>
            </w:r>
          </w:p>
          <w:p>
            <w:pPr>
              <w:pStyle w:val="TableContents"/>
              <w:bidi w:val="0"/>
              <w:spacing w:before="0" w:after="0"/>
              <w:jc w:val="right"/>
              <w:rPr>
                <w:rFonts w:ascii="Times New Roman" w:hAnsi="Times New Roman"/>
                <w:sz w:val="20"/>
              </w:rPr>
            </w:pPr>
            <w:r>
              <w:rPr>
                <w:rFonts w:ascii="Times New Roman" w:hAnsi="Times New Roman"/>
                <w:sz w:val="20"/>
              </w:rPr>
              <w:t>35,100</w:t>
            </w:r>
          </w:p>
          <w:p>
            <w:pPr>
              <w:pStyle w:val="TableContents"/>
              <w:bidi w:val="0"/>
              <w:spacing w:before="0" w:after="0"/>
              <w:jc w:val="right"/>
              <w:rPr>
                <w:rFonts w:ascii="Times New Roman" w:hAnsi="Times New Roman"/>
                <w:sz w:val="20"/>
              </w:rPr>
            </w:pPr>
            <w:r>
              <w:rPr>
                <w:rFonts w:ascii="Times New Roman" w:hAnsi="Times New Roman"/>
                <w:sz w:val="20"/>
              </w:rPr>
              <w:t>31,200</w:t>
            </w:r>
          </w:p>
          <w:p>
            <w:pPr>
              <w:pStyle w:val="TableContents"/>
              <w:bidi w:val="0"/>
              <w:spacing w:before="0" w:after="20"/>
              <w:jc w:val="right"/>
              <w:rPr>
                <w:rFonts w:ascii="Times New Roman" w:hAnsi="Times New Roman"/>
                <w:sz w:val="20"/>
              </w:rPr>
            </w:pPr>
            <w:r>
              <w:rPr>
                <w:rFonts w:ascii="Times New Roman" w:hAnsi="Times New Roman"/>
                <w:sz w:val="20"/>
              </w:rPr>
              <w:t>37,050</w:t>
            </w:r>
          </w:p>
        </w:tc>
        <w:tc>
          <w:tcPr>
            <w:tcW w:w="60" w:type="dxa"/>
            <w:tcBorders/>
            <w:vAlign w:val="bottom"/>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9" w:type="dxa"/>
            <w:tcBorders/>
            <w:vAlign w:val="bottom"/>
          </w:tcPr>
          <w:p>
            <w:pPr>
              <w:pStyle w:val="TableContents"/>
              <w:bidi w:val="0"/>
              <w:spacing w:before="0" w:after="283"/>
              <w:jc w:val="left"/>
              <w:rPr/>
            </w:pPr>
            <w:r>
              <w:rPr/>
              <w:t>  </w:t>
            </w:r>
          </w:p>
        </w:tc>
        <w:tc>
          <w:tcPr>
            <w:tcW w:w="920" w:type="dxa"/>
            <w:tcBorders/>
          </w:tcPr>
          <w:p>
            <w:pPr>
              <w:pStyle w:val="TableContents"/>
              <w:bidi w:val="0"/>
              <w:spacing w:before="0" w:after="283"/>
              <w:jc w:val="center"/>
              <w:rPr/>
            </w:pPr>
            <w:r>
              <w:rPr/>
              <w:t>No</w:t>
              <w:br/>
              <w:t>No</w:t>
              <w:br/>
              <w:t>No</w:t>
              <w:br/>
              <w:t>No</w:t>
              <w:br/>
              <w:t>No</w:t>
              <w:br/>
              <w:t>No</w:t>
            </w:r>
          </w:p>
        </w:tc>
        <w:tc>
          <w:tcPr>
            <w:tcW w:w="129" w:type="dxa"/>
            <w:tcBorders/>
            <w:vAlign w:val="bottom"/>
          </w:tcPr>
          <w:p>
            <w:pPr>
              <w:pStyle w:val="TableContents"/>
              <w:bidi w:val="0"/>
              <w:spacing w:before="0" w:after="283"/>
              <w:jc w:val="left"/>
              <w:rPr/>
            </w:pPr>
            <w:r>
              <w:rPr/>
              <w:t>  </w:t>
            </w:r>
          </w:p>
        </w:tc>
        <w:tc>
          <w:tcPr>
            <w:tcW w:w="1143" w:type="dxa"/>
            <w:tcBorders/>
          </w:tcPr>
          <w:p>
            <w:pPr>
              <w:pStyle w:val="TableContents"/>
              <w:bidi w:val="0"/>
              <w:spacing w:before="0" w:after="283"/>
              <w:jc w:val="center"/>
              <w:rPr/>
            </w:pPr>
            <w:r>
              <w:rPr/>
              <w:t>Nov-25</w:t>
              <w:br/>
              <w:t>Nov-26</w:t>
              <w:br/>
              <w:t>Nov-27</w:t>
              <w:br/>
              <w:t>Nov-28</w:t>
              <w:br/>
              <w:t>Nov-29</w:t>
              <w:br/>
              <w:t>Jan-30</w:t>
            </w:r>
          </w:p>
        </w:tc>
      </w:tr>
      <w:tr>
        <w:trPr/>
        <w:tc>
          <w:tcPr>
            <w:tcW w:w="26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TBN X</w:t>
            </w:r>
          </w:p>
        </w:tc>
        <w:tc>
          <w:tcPr>
            <w:tcW w:w="129" w:type="dxa"/>
            <w:tcBorders/>
            <w:shd w:fill="CCEEFF" w:val="clear"/>
            <w:vAlign w:val="bottom"/>
          </w:tcPr>
          <w:p>
            <w:pPr>
              <w:pStyle w:val="TableContents"/>
              <w:bidi w:val="0"/>
              <w:spacing w:before="0" w:after="283"/>
              <w:jc w:val="left"/>
              <w:rPr/>
            </w:pPr>
            <w:r>
              <w:rPr/>
              <w:t>  </w:t>
            </w:r>
          </w:p>
        </w:tc>
        <w:tc>
          <w:tcPr>
            <w:tcW w:w="1381" w:type="dxa"/>
            <w:tcBorders/>
            <w:shd w:fill="CCEEFF" w:val="clear"/>
          </w:tcPr>
          <w:p>
            <w:pPr>
              <w:pStyle w:val="TableContents"/>
              <w:bidi w:val="0"/>
              <w:spacing w:before="0" w:after="283"/>
              <w:jc w:val="center"/>
              <w:rPr/>
            </w:pPr>
            <w:r>
              <w:rPr/>
              <w:t>Containership</w:t>
            </w:r>
          </w:p>
        </w:tc>
        <w:tc>
          <w:tcPr>
            <w:tcW w:w="129" w:type="dxa"/>
            <w:tcBorders/>
            <w:shd w:fill="CCEEFF" w:val="clear"/>
            <w:vAlign w:val="bottom"/>
          </w:tcPr>
          <w:p>
            <w:pPr>
              <w:pStyle w:val="TableContents"/>
              <w:bidi w:val="0"/>
              <w:spacing w:before="0" w:after="283"/>
              <w:jc w:val="left"/>
              <w:rPr/>
            </w:pPr>
            <w:r>
              <w:rPr/>
              <w:t>  </w:t>
            </w:r>
          </w:p>
        </w:tc>
        <w:tc>
          <w:tcPr>
            <w:tcW w:w="897" w:type="dxa"/>
            <w:tcBorders/>
            <w:shd w:fill="CCEEFF" w:val="clear"/>
          </w:tcPr>
          <w:p>
            <w:pPr>
              <w:pStyle w:val="TableContents"/>
              <w:bidi w:val="0"/>
              <w:spacing w:before="0" w:after="283"/>
              <w:jc w:val="center"/>
              <w:rPr/>
            </w:pPr>
            <w:r>
              <w:rPr/>
              <w:t>H2 2024</w:t>
            </w:r>
          </w:p>
        </w:tc>
        <w:tc>
          <w:tcPr>
            <w:tcW w:w="129" w:type="dxa"/>
            <w:tcBorders/>
            <w:shd w:fill="CCEEFF" w:val="clear"/>
            <w:vAlign w:val="bottom"/>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870" w:type="dxa"/>
            <w:tcBorders/>
            <w:shd w:fill="CCEEFF" w:val="clear"/>
          </w:tcPr>
          <w:p>
            <w:pPr>
              <w:pStyle w:val="TableContents"/>
              <w:bidi w:val="0"/>
              <w:spacing w:before="0" w:after="283"/>
              <w:jc w:val="right"/>
              <w:rPr/>
            </w:pPr>
            <w:r>
              <w:rPr/>
              <w:t>5,300</w:t>
            </w:r>
          </w:p>
        </w:tc>
        <w:tc>
          <w:tcPr>
            <w:tcW w:w="60" w:type="dxa"/>
            <w:tcBorders/>
            <w:shd w:fill="CCEEFF" w:val="clear"/>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37,500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20" w:type="dxa"/>
            <w:tcBorders/>
            <w:shd w:fill="CCEEFF" w:val="clear"/>
          </w:tcPr>
          <w:p>
            <w:pPr>
              <w:pStyle w:val="TableContents"/>
              <w:bidi w:val="0"/>
              <w:spacing w:before="0" w:after="283"/>
              <w:jc w:val="center"/>
              <w:rPr/>
            </w:pPr>
            <w:r>
              <w:rPr/>
              <w:t>No</w:t>
            </w:r>
          </w:p>
        </w:tc>
        <w:tc>
          <w:tcPr>
            <w:tcW w:w="129" w:type="dxa"/>
            <w:tcBorders/>
            <w:shd w:fill="CCEEFF" w:val="clear"/>
            <w:vAlign w:val="bottom"/>
          </w:tcPr>
          <w:p>
            <w:pPr>
              <w:pStyle w:val="TableContents"/>
              <w:bidi w:val="0"/>
              <w:spacing w:before="0" w:after="283"/>
              <w:jc w:val="left"/>
              <w:rPr/>
            </w:pPr>
            <w:r>
              <w:rPr/>
              <w:t>  </w:t>
            </w:r>
          </w:p>
        </w:tc>
        <w:tc>
          <w:tcPr>
            <w:tcW w:w="1143" w:type="dxa"/>
            <w:tcBorders/>
            <w:shd w:fill="CCEEFF" w:val="clear"/>
          </w:tcPr>
          <w:p>
            <w:pPr>
              <w:pStyle w:val="TableContents"/>
              <w:bidi w:val="0"/>
              <w:spacing w:before="0" w:after="283"/>
              <w:jc w:val="center"/>
              <w:rPr/>
            </w:pPr>
            <w:r>
              <w:rPr/>
              <w:t>Feb-30</w:t>
            </w:r>
          </w:p>
        </w:tc>
      </w:tr>
      <w:tr>
        <w:trPr/>
        <w:tc>
          <w:tcPr>
            <w:tcW w:w="2677" w:type="dxa"/>
            <w:tcBorders/>
          </w:tcPr>
          <w:p>
            <w:pPr>
              <w:pStyle w:val="TableContents"/>
              <w:bidi w:val="0"/>
              <w:spacing w:before="0" w:after="0"/>
              <w:jc w:val="left"/>
              <w:rPr>
                <w:rFonts w:ascii="Times New Roman" w:hAnsi="Times New Roman"/>
                <w:sz w:val="20"/>
              </w:rPr>
            </w:pPr>
            <w:r>
              <w:rPr>
                <w:rFonts w:ascii="Times New Roman" w:hAnsi="Times New Roman"/>
                <w:sz w:val="20"/>
              </w:rPr>
              <w:t>TBN XI</w:t>
            </w:r>
          </w:p>
        </w:tc>
        <w:tc>
          <w:tcPr>
            <w:tcW w:w="129" w:type="dxa"/>
            <w:tcBorders/>
            <w:vAlign w:val="bottom"/>
          </w:tcPr>
          <w:p>
            <w:pPr>
              <w:pStyle w:val="TableContents"/>
              <w:bidi w:val="0"/>
              <w:spacing w:before="0" w:after="283"/>
              <w:jc w:val="left"/>
              <w:rPr/>
            </w:pPr>
            <w:r>
              <w:rPr/>
              <w:t>  </w:t>
            </w:r>
          </w:p>
        </w:tc>
        <w:tc>
          <w:tcPr>
            <w:tcW w:w="1381" w:type="dxa"/>
            <w:tcBorders/>
          </w:tcPr>
          <w:p>
            <w:pPr>
              <w:pStyle w:val="TableContents"/>
              <w:bidi w:val="0"/>
              <w:spacing w:before="0" w:after="283"/>
              <w:jc w:val="center"/>
              <w:rPr/>
            </w:pPr>
            <w:r>
              <w:rPr/>
              <w:t>Containership</w:t>
            </w:r>
          </w:p>
        </w:tc>
        <w:tc>
          <w:tcPr>
            <w:tcW w:w="129" w:type="dxa"/>
            <w:tcBorders/>
            <w:vAlign w:val="bottom"/>
          </w:tcPr>
          <w:p>
            <w:pPr>
              <w:pStyle w:val="TableContents"/>
              <w:bidi w:val="0"/>
              <w:spacing w:before="0" w:after="283"/>
              <w:jc w:val="left"/>
              <w:rPr/>
            </w:pPr>
            <w:r>
              <w:rPr/>
              <w:t>  </w:t>
            </w:r>
          </w:p>
        </w:tc>
        <w:tc>
          <w:tcPr>
            <w:tcW w:w="897" w:type="dxa"/>
            <w:tcBorders/>
          </w:tcPr>
          <w:p>
            <w:pPr>
              <w:pStyle w:val="TableContents"/>
              <w:bidi w:val="0"/>
              <w:spacing w:before="0" w:after="283"/>
              <w:jc w:val="center"/>
              <w:rPr/>
            </w:pPr>
            <w:r>
              <w:rPr/>
              <w:t>H2 2024</w:t>
            </w:r>
          </w:p>
        </w:tc>
        <w:tc>
          <w:tcPr>
            <w:tcW w:w="129"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870" w:type="dxa"/>
            <w:tcBorders/>
          </w:tcPr>
          <w:p>
            <w:pPr>
              <w:pStyle w:val="TableContents"/>
              <w:bidi w:val="0"/>
              <w:spacing w:before="0" w:after="283"/>
              <w:jc w:val="right"/>
              <w:rPr/>
            </w:pPr>
            <w:r>
              <w:rPr/>
              <w:t>5,300</w:t>
            </w:r>
          </w:p>
        </w:tc>
        <w:tc>
          <w:tcPr>
            <w:tcW w:w="60"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37,500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20" w:type="dxa"/>
            <w:tcBorders/>
          </w:tcPr>
          <w:p>
            <w:pPr>
              <w:pStyle w:val="TableContents"/>
              <w:bidi w:val="0"/>
              <w:spacing w:before="0" w:after="283"/>
              <w:jc w:val="center"/>
              <w:rPr/>
            </w:pPr>
            <w:r>
              <w:rPr/>
              <w:t>No</w:t>
            </w:r>
          </w:p>
        </w:tc>
        <w:tc>
          <w:tcPr>
            <w:tcW w:w="129" w:type="dxa"/>
            <w:tcBorders/>
            <w:vAlign w:val="bottom"/>
          </w:tcPr>
          <w:p>
            <w:pPr>
              <w:pStyle w:val="TableContents"/>
              <w:bidi w:val="0"/>
              <w:spacing w:before="0" w:after="283"/>
              <w:jc w:val="left"/>
              <w:rPr/>
            </w:pPr>
            <w:r>
              <w:rPr/>
              <w:t>  </w:t>
            </w:r>
          </w:p>
        </w:tc>
        <w:tc>
          <w:tcPr>
            <w:tcW w:w="1143" w:type="dxa"/>
            <w:tcBorders/>
          </w:tcPr>
          <w:p>
            <w:pPr>
              <w:pStyle w:val="TableContents"/>
              <w:bidi w:val="0"/>
              <w:spacing w:before="0" w:after="283"/>
              <w:jc w:val="center"/>
              <w:rPr/>
            </w:pPr>
            <w:r>
              <w:rPr/>
              <w:t>Apr-30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2164"/>
        <w:gridCol w:w="120"/>
        <w:gridCol w:w="2046"/>
        <w:gridCol w:w="120"/>
        <w:gridCol w:w="875"/>
        <w:gridCol w:w="120"/>
        <w:gridCol w:w="65"/>
        <w:gridCol w:w="870"/>
        <w:gridCol w:w="60"/>
        <w:gridCol w:w="120"/>
        <w:gridCol w:w="223"/>
        <w:gridCol w:w="1088"/>
        <w:gridCol w:w="470"/>
        <w:gridCol w:w="60"/>
        <w:gridCol w:w="503"/>
        <w:gridCol w:w="120"/>
        <w:gridCol w:w="112"/>
        <w:gridCol w:w="1002"/>
        <w:gridCol w:w="67"/>
      </w:tblGrid>
      <w:tr>
        <w:trPr/>
        <w:tc>
          <w:tcPr>
            <w:tcW w:w="216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16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Owned Containerships to be</w:t>
              <w:br/>
              <w:t>Delivered                                </w:t>
            </w:r>
          </w:p>
        </w:tc>
        <w:tc>
          <w:tcPr>
            <w:tcW w:w="120" w:type="dxa"/>
            <w:tcBorders/>
            <w:vAlign w:val="bottom"/>
          </w:tcPr>
          <w:p>
            <w:pPr>
              <w:pStyle w:val="TableContents"/>
              <w:bidi w:val="0"/>
              <w:spacing w:before="0" w:after="283"/>
              <w:jc w:val="left"/>
              <w:rPr/>
            </w:pPr>
            <w:r>
              <w:rPr/>
              <w:t>  </w:t>
            </w:r>
          </w:p>
        </w:tc>
        <w:tc>
          <w:tcPr>
            <w:tcW w:w="2046" w:type="dxa"/>
            <w:tcBorders>
              <w:bottom w:val="single" w:sz="8" w:space="0" w:color="000000"/>
            </w:tcBorders>
            <w:tcMar>
              <w:bottom w:w="28" w:type="dxa"/>
            </w:tcMar>
            <w:vAlign w:val="bottom"/>
          </w:tcPr>
          <w:p>
            <w:pPr>
              <w:pStyle w:val="TableContents"/>
              <w:bidi w:val="0"/>
              <w:spacing w:before="0" w:after="283"/>
              <w:jc w:val="center"/>
              <w:rPr>
                <w:b/>
              </w:rPr>
            </w:pPr>
            <w:r>
              <w:rPr>
                <w:b/>
              </w:rPr>
              <w:t>Type</w:t>
            </w:r>
          </w:p>
        </w:tc>
        <w:tc>
          <w:tcPr>
            <w:tcW w:w="120" w:type="dxa"/>
            <w:tcBorders/>
            <w:vAlign w:val="bottom"/>
          </w:tcPr>
          <w:p>
            <w:pPr>
              <w:pStyle w:val="TableContents"/>
              <w:bidi w:val="0"/>
              <w:spacing w:before="0" w:after="283"/>
              <w:jc w:val="left"/>
              <w:rPr/>
            </w:pPr>
            <w:r>
              <w:rPr/>
              <w:t>  </w:t>
            </w:r>
          </w:p>
        </w:tc>
        <w:tc>
          <w:tcPr>
            <w:tcW w:w="875" w:type="dxa"/>
            <w:tcBorders>
              <w:bottom w:val="single" w:sz="8" w:space="0" w:color="000000"/>
            </w:tcBorders>
            <w:tcMar>
              <w:bottom w:w="28" w:type="dxa"/>
            </w:tcMar>
            <w:vAlign w:val="bottom"/>
          </w:tcPr>
          <w:p>
            <w:pPr>
              <w:pStyle w:val="TableContents"/>
              <w:bidi w:val="0"/>
              <w:spacing w:before="0" w:after="283"/>
              <w:jc w:val="center"/>
              <w:rPr>
                <w:b/>
              </w:rPr>
            </w:pPr>
            <w:r>
              <w:rPr>
                <w:b/>
              </w:rPr>
              <w:t>Delivery</w:t>
              <w:br/>
              <w:t>Date</w:t>
            </w:r>
          </w:p>
        </w:tc>
        <w:tc>
          <w:tcPr>
            <w:tcW w:w="12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Capacity</w:t>
              <w:br/>
              <w:t>(TEU)</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Charter-Out</w:t>
              <w:br/>
              <w:t>Rate(1)</w:t>
            </w:r>
          </w:p>
        </w:tc>
        <w:tc>
          <w:tcPr>
            <w:tcW w:w="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Index(2)</w:t>
            </w:r>
          </w:p>
        </w:tc>
        <w:tc>
          <w:tcPr>
            <w:tcW w:w="120" w:type="dxa"/>
            <w:tcBorders/>
            <w:vAlign w:val="bottom"/>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bottom"/>
          </w:tcPr>
          <w:p>
            <w:pPr>
              <w:pStyle w:val="TableContents"/>
              <w:bidi w:val="0"/>
              <w:spacing w:before="0" w:after="283"/>
              <w:jc w:val="center"/>
              <w:rPr/>
            </w:pPr>
            <w:r>
              <w:rPr>
                <w:b/>
              </w:rPr>
              <w:t>Expiration</w:t>
            </w:r>
            <w:r>
              <w:rPr/>
              <w:br/>
            </w:r>
            <w:r>
              <w:rPr>
                <w:b/>
              </w:rPr>
              <w:t>Date(3)</w:t>
            </w:r>
          </w:p>
        </w:tc>
        <w:tc>
          <w:tcPr>
            <w:tcW w:w="67" w:type="dxa"/>
            <w:tcBorders/>
            <w:vAlign w:val="bottom"/>
          </w:tcPr>
          <w:p>
            <w:pPr>
              <w:pStyle w:val="TableContents"/>
              <w:bidi w:val="0"/>
              <w:spacing w:before="0" w:after="283"/>
              <w:jc w:val="left"/>
              <w:rPr/>
            </w:pPr>
            <w:r>
              <w:rPr/>
              <w:t> </w:t>
            </w:r>
          </w:p>
        </w:tc>
      </w:tr>
      <w:tr>
        <w:trPr/>
        <w:tc>
          <w:tcPr>
            <w:tcW w:w="2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TBN XIX</w:t>
            </w:r>
          </w:p>
        </w:tc>
        <w:tc>
          <w:tcPr>
            <w:tcW w:w="120" w:type="dxa"/>
            <w:tcBorders/>
            <w:shd w:fill="CCEEFF" w:val="clear"/>
            <w:vAlign w:val="bottom"/>
          </w:tcPr>
          <w:p>
            <w:pPr>
              <w:pStyle w:val="TableContents"/>
              <w:bidi w:val="0"/>
              <w:spacing w:before="0" w:after="283"/>
              <w:jc w:val="left"/>
              <w:rPr/>
            </w:pPr>
            <w:r>
              <w:rPr/>
              <w:t>  </w:t>
            </w:r>
          </w:p>
        </w:tc>
        <w:tc>
          <w:tcPr>
            <w:tcW w:w="2046" w:type="dxa"/>
            <w:tcBorders/>
            <w:shd w:fill="CCEEFF" w:val="clear"/>
          </w:tcPr>
          <w:p>
            <w:pPr>
              <w:pStyle w:val="TableContents"/>
              <w:bidi w:val="0"/>
              <w:spacing w:before="0" w:after="283"/>
              <w:jc w:val="center"/>
              <w:rPr/>
            </w:pPr>
            <w:r>
              <w:rPr/>
              <w:t>Containership</w:t>
            </w:r>
          </w:p>
        </w:tc>
        <w:tc>
          <w:tcPr>
            <w:tcW w:w="120" w:type="dxa"/>
            <w:tcBorders/>
            <w:shd w:fill="CCEEFF" w:val="clear"/>
            <w:vAlign w:val="bottom"/>
          </w:tcPr>
          <w:p>
            <w:pPr>
              <w:pStyle w:val="TableContents"/>
              <w:bidi w:val="0"/>
              <w:spacing w:before="0" w:after="283"/>
              <w:jc w:val="left"/>
              <w:rPr/>
            </w:pPr>
            <w:r>
              <w:rPr/>
              <w:t>  </w:t>
            </w:r>
          </w:p>
        </w:tc>
        <w:tc>
          <w:tcPr>
            <w:tcW w:w="875" w:type="dxa"/>
            <w:tcBorders/>
            <w:shd w:fill="CCEEFF" w:val="clear"/>
          </w:tcPr>
          <w:p>
            <w:pPr>
              <w:pStyle w:val="TableContents"/>
              <w:bidi w:val="0"/>
              <w:spacing w:before="0" w:after="283"/>
              <w:jc w:val="center"/>
              <w:rPr/>
            </w:pPr>
            <w:r>
              <w:rPr/>
              <w:t>H1 2025</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tcPr>
          <w:p>
            <w:pPr>
              <w:pStyle w:val="TableContents"/>
              <w:bidi w:val="0"/>
              <w:spacing w:before="0" w:after="283"/>
              <w:jc w:val="left"/>
              <w:rPr/>
            </w:pPr>
            <w:r>
              <w:rPr/>
              <w:t> </w:t>
            </w:r>
          </w:p>
        </w:tc>
        <w:tc>
          <w:tcPr>
            <w:tcW w:w="870" w:type="dxa"/>
            <w:tcBorders/>
            <w:shd w:fill="CCEEFF" w:val="clear"/>
          </w:tcPr>
          <w:p>
            <w:pPr>
              <w:pStyle w:val="TableContents"/>
              <w:bidi w:val="0"/>
              <w:spacing w:before="0" w:after="283"/>
              <w:jc w:val="right"/>
              <w:rPr/>
            </w:pPr>
            <w:r>
              <w:rPr/>
              <w:t>7,700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3" w:type="dxa"/>
            <w:tcBorders/>
            <w:shd w:fill="CCEEFF" w:val="clear"/>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1088" w:type="dxa"/>
            <w:tcBorders/>
            <w:shd w:fill="CCEEFF" w:val="clear"/>
          </w:tcPr>
          <w:p>
            <w:pPr>
              <w:pStyle w:val="TableContents"/>
              <w:bidi w:val="0"/>
              <w:jc w:val="right"/>
              <w:rPr/>
            </w:pPr>
            <w:r>
              <w:rPr/>
              <w:t>57,213</w:t>
            </w:r>
          </w:p>
          <w:p>
            <w:pPr>
              <w:pStyle w:val="TableContents"/>
              <w:bidi w:val="0"/>
              <w:spacing w:before="0" w:after="0"/>
              <w:jc w:val="right"/>
              <w:rPr>
                <w:rFonts w:ascii="Times New Roman" w:hAnsi="Times New Roman"/>
                <w:sz w:val="20"/>
              </w:rPr>
            </w:pPr>
            <w:r>
              <w:rPr>
                <w:rFonts w:ascii="Times New Roman" w:hAnsi="Times New Roman"/>
                <w:sz w:val="20"/>
              </w:rPr>
              <w:t>52,238</w:t>
            </w:r>
          </w:p>
          <w:p>
            <w:pPr>
              <w:pStyle w:val="TableContents"/>
              <w:bidi w:val="0"/>
              <w:spacing w:before="0" w:after="0"/>
              <w:jc w:val="right"/>
              <w:rPr>
                <w:rFonts w:ascii="Times New Roman" w:hAnsi="Times New Roman"/>
                <w:sz w:val="20"/>
              </w:rPr>
            </w:pPr>
            <w:r>
              <w:rPr>
                <w:rFonts w:ascii="Times New Roman" w:hAnsi="Times New Roman"/>
                <w:sz w:val="20"/>
              </w:rPr>
              <w:t>37,313</w:t>
            </w:r>
          </w:p>
          <w:p>
            <w:pPr>
              <w:pStyle w:val="TableContents"/>
              <w:bidi w:val="0"/>
              <w:spacing w:before="0" w:after="0"/>
              <w:jc w:val="right"/>
              <w:rPr>
                <w:rFonts w:ascii="Times New Roman" w:hAnsi="Times New Roman"/>
                <w:sz w:val="20"/>
              </w:rPr>
            </w:pPr>
            <w:r>
              <w:rPr>
                <w:rFonts w:ascii="Times New Roman" w:hAnsi="Times New Roman"/>
                <w:sz w:val="20"/>
              </w:rPr>
              <w:t>27,363</w:t>
            </w:r>
          </w:p>
          <w:p>
            <w:pPr>
              <w:pStyle w:val="TableContents"/>
              <w:bidi w:val="0"/>
              <w:spacing w:before="0" w:after="20"/>
              <w:jc w:val="right"/>
              <w:rPr>
                <w:rFonts w:ascii="Times New Roman" w:hAnsi="Times New Roman"/>
                <w:sz w:val="20"/>
              </w:rPr>
            </w:pPr>
            <w:r>
              <w:rPr>
                <w:rFonts w:ascii="Times New Roman" w:hAnsi="Times New Roman"/>
                <w:sz w:val="20"/>
              </w:rPr>
              <w:t>24,875</w:t>
            </w:r>
          </w:p>
        </w:tc>
        <w:tc>
          <w:tcPr>
            <w:tcW w:w="470" w:type="dxa"/>
            <w:tcBorders/>
            <w:shd w:fill="CCEEFF" w:val="clea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(23) </w:t>
            </w:r>
          </w:p>
        </w:tc>
        <w:tc>
          <w:tcPr>
            <w:tcW w:w="60" w:type="dxa"/>
            <w:tcBorders/>
            <w:shd w:fill="CCEEFF" w:val="clear"/>
            <w:vAlign w:val="bottom"/>
          </w:tcPr>
          <w:p>
            <w:pPr>
              <w:pStyle w:val="TableContents"/>
              <w:bidi w:val="0"/>
              <w:spacing w:before="0" w:after="283"/>
              <w:jc w:val="left"/>
              <w:rPr/>
            </w:pPr>
            <w:r>
              <w:rPr/>
              <w:t> </w:t>
            </w:r>
          </w:p>
        </w:tc>
        <w:tc>
          <w:tcPr>
            <w:tcW w:w="503" w:type="dxa"/>
            <w:tcBorders/>
            <w:shd w:fill="CCEEFF" w:val="clear"/>
          </w:tcPr>
          <w:p>
            <w:pPr>
              <w:pStyle w:val="TableContents"/>
              <w:bidi w:val="0"/>
              <w:spacing w:before="0" w:after="283"/>
              <w:jc w:val="center"/>
              <w:rPr/>
            </w:pPr>
            <w:r>
              <w:rPr/>
              <w:t>No</w:t>
              <w:br/>
              <w:t>No</w:t>
              <w:br/>
              <w:t>No</w:t>
              <w:br/>
              <w:t>No</w:t>
              <w:br/>
              <w:t>No</w:t>
            </w:r>
          </w:p>
        </w:tc>
        <w:tc>
          <w:tcPr>
            <w:tcW w:w="120" w:type="dxa"/>
            <w:tcBorders/>
            <w:shd w:fill="CCEEFF" w:val="clear"/>
            <w:vAlign w:val="bottom"/>
          </w:tcPr>
          <w:p>
            <w:pPr>
              <w:pStyle w:val="TableContents"/>
              <w:bidi w:val="0"/>
              <w:spacing w:before="0" w:after="283"/>
              <w:jc w:val="left"/>
              <w:rPr/>
            </w:pPr>
            <w:r>
              <w:rPr/>
              <w:t>  </w:t>
            </w:r>
          </w:p>
        </w:tc>
        <w:tc>
          <w:tcPr>
            <w:tcW w:w="112" w:type="dxa"/>
            <w:tcBorders/>
            <w:shd w:fill="CCEEFF" w:val="clear"/>
          </w:tcPr>
          <w:p>
            <w:pPr>
              <w:pStyle w:val="TableContents"/>
              <w:bidi w:val="0"/>
              <w:spacing w:before="0" w:after="283"/>
              <w:jc w:val="left"/>
              <w:rPr/>
            </w:pPr>
            <w:r>
              <w:rPr/>
              <w:t> </w:t>
            </w:r>
          </w:p>
        </w:tc>
        <w:tc>
          <w:tcPr>
            <w:tcW w:w="1002" w:type="dxa"/>
            <w:tcBorders/>
            <w:shd w:fill="CCEEFF" w:val="clear"/>
          </w:tcPr>
          <w:p>
            <w:pPr>
              <w:pStyle w:val="TableContents"/>
              <w:bidi w:val="0"/>
              <w:jc w:val="right"/>
              <w:rPr/>
            </w:pPr>
            <w:r>
              <w:rPr/>
              <w:t>Jan-28</w:t>
            </w:r>
          </w:p>
          <w:p>
            <w:pPr>
              <w:pStyle w:val="TableContents"/>
              <w:bidi w:val="0"/>
              <w:spacing w:before="0" w:after="0"/>
              <w:jc w:val="right"/>
              <w:rPr>
                <w:rFonts w:ascii="Times New Roman" w:hAnsi="Times New Roman"/>
                <w:sz w:val="20"/>
              </w:rPr>
            </w:pPr>
            <w:r>
              <w:rPr>
                <w:rFonts w:ascii="Times New Roman" w:hAnsi="Times New Roman"/>
                <w:sz w:val="20"/>
              </w:rPr>
              <w:t>Jan-31</w:t>
            </w:r>
          </w:p>
          <w:p>
            <w:pPr>
              <w:pStyle w:val="TableContents"/>
              <w:bidi w:val="0"/>
              <w:spacing w:before="0" w:after="0"/>
              <w:jc w:val="right"/>
              <w:rPr>
                <w:rFonts w:ascii="Times New Roman" w:hAnsi="Times New Roman"/>
                <w:sz w:val="20"/>
              </w:rPr>
            </w:pPr>
            <w:r>
              <w:rPr>
                <w:rFonts w:ascii="Times New Roman" w:hAnsi="Times New Roman"/>
                <w:sz w:val="20"/>
              </w:rPr>
              <w:t>Jan-33</w:t>
            </w:r>
          </w:p>
          <w:p>
            <w:pPr>
              <w:pStyle w:val="TableContents"/>
              <w:bidi w:val="0"/>
              <w:spacing w:before="0" w:after="0"/>
              <w:jc w:val="right"/>
              <w:rPr>
                <w:rFonts w:ascii="Times New Roman" w:hAnsi="Times New Roman"/>
                <w:sz w:val="20"/>
              </w:rPr>
            </w:pPr>
            <w:r>
              <w:rPr>
                <w:rFonts w:ascii="Times New Roman" w:hAnsi="Times New Roman"/>
                <w:sz w:val="20"/>
              </w:rPr>
              <w:t>Jan-35</w:t>
            </w:r>
          </w:p>
          <w:p>
            <w:pPr>
              <w:pStyle w:val="TableContents"/>
              <w:bidi w:val="0"/>
              <w:spacing w:before="0" w:after="20"/>
              <w:jc w:val="right"/>
              <w:rPr>
                <w:rFonts w:ascii="Times New Roman" w:hAnsi="Times New Roman"/>
                <w:sz w:val="20"/>
              </w:rPr>
            </w:pPr>
            <w:r>
              <w:rPr>
                <w:rFonts w:ascii="Times New Roman" w:hAnsi="Times New Roman"/>
                <w:sz w:val="20"/>
              </w:rPr>
              <w:t>Jan-37</w:t>
            </w:r>
          </w:p>
        </w:tc>
        <w:tc>
          <w:tcPr>
            <w:tcW w:w="67" w:type="dxa"/>
            <w:tcBorders/>
            <w:shd w:fill="CCEEFF" w:val="clea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2164" w:type="dxa"/>
            <w:tcBorders/>
          </w:tcPr>
          <w:p>
            <w:pPr>
              <w:pStyle w:val="TableContents"/>
              <w:bidi w:val="0"/>
              <w:spacing w:before="0" w:after="0"/>
              <w:jc w:val="left"/>
              <w:rPr>
                <w:rFonts w:ascii="Times New Roman" w:hAnsi="Times New Roman"/>
                <w:sz w:val="20"/>
              </w:rPr>
            </w:pPr>
            <w:r>
              <w:rPr>
                <w:rFonts w:ascii="Times New Roman" w:hAnsi="Times New Roman"/>
                <w:sz w:val="20"/>
              </w:rPr>
              <w:t>TBN XVIII</w:t>
            </w:r>
          </w:p>
        </w:tc>
        <w:tc>
          <w:tcPr>
            <w:tcW w:w="120" w:type="dxa"/>
            <w:tcBorders/>
            <w:vAlign w:val="bottom"/>
          </w:tcPr>
          <w:p>
            <w:pPr>
              <w:pStyle w:val="TableContents"/>
              <w:bidi w:val="0"/>
              <w:spacing w:before="0" w:after="283"/>
              <w:jc w:val="left"/>
              <w:rPr/>
            </w:pPr>
            <w:r>
              <w:rPr/>
              <w:t>  </w:t>
            </w:r>
          </w:p>
        </w:tc>
        <w:tc>
          <w:tcPr>
            <w:tcW w:w="2046" w:type="dxa"/>
            <w:tcBorders/>
          </w:tcPr>
          <w:p>
            <w:pPr>
              <w:pStyle w:val="TableContents"/>
              <w:bidi w:val="0"/>
              <w:spacing w:before="0" w:after="283"/>
              <w:jc w:val="center"/>
              <w:rPr/>
            </w:pPr>
            <w:r>
              <w:rPr/>
              <w:t>Containership</w:t>
            </w:r>
          </w:p>
        </w:tc>
        <w:tc>
          <w:tcPr>
            <w:tcW w:w="120"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H2 2024</w:t>
            </w:r>
          </w:p>
        </w:tc>
        <w:tc>
          <w:tcPr>
            <w:tcW w:w="120" w:type="dxa"/>
            <w:tcBorders/>
            <w:vAlign w:val="bottom"/>
          </w:tcPr>
          <w:p>
            <w:pPr>
              <w:pStyle w:val="TableContents"/>
              <w:bidi w:val="0"/>
              <w:spacing w:before="0" w:after="283"/>
              <w:jc w:val="left"/>
              <w:rPr/>
            </w:pPr>
            <w:r>
              <w:rPr/>
              <w:t>  </w:t>
            </w:r>
          </w:p>
        </w:tc>
        <w:tc>
          <w:tcPr>
            <w:tcW w:w="65" w:type="dxa"/>
            <w:tcBorders/>
          </w:tcPr>
          <w:p>
            <w:pPr>
              <w:pStyle w:val="TableContents"/>
              <w:bidi w:val="0"/>
              <w:spacing w:before="0" w:after="283"/>
              <w:jc w:val="left"/>
              <w:rPr/>
            </w:pPr>
            <w:r>
              <w:rPr/>
              <w:t> </w:t>
            </w:r>
          </w:p>
        </w:tc>
        <w:tc>
          <w:tcPr>
            <w:tcW w:w="870" w:type="dxa"/>
            <w:tcBorders/>
          </w:tcPr>
          <w:p>
            <w:pPr>
              <w:pStyle w:val="TableContents"/>
              <w:bidi w:val="0"/>
              <w:spacing w:before="0" w:after="283"/>
              <w:jc w:val="right"/>
              <w:rPr/>
            </w:pPr>
            <w:r>
              <w:rPr/>
              <w:t>7,700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3" w:type="dxa"/>
            <w:tcBorders/>
          </w:tcPr>
          <w:p>
            <w:pPr>
              <w:pStyle w:val="TableContents"/>
              <w:bidi w:val="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c>
          <w:tcPr>
            <w:tcW w:w="1088" w:type="dxa"/>
            <w:tcBorders/>
          </w:tcPr>
          <w:p>
            <w:pPr>
              <w:pStyle w:val="TableContents"/>
              <w:bidi w:val="0"/>
              <w:jc w:val="right"/>
              <w:rPr/>
            </w:pPr>
            <w:r>
              <w:rPr/>
              <w:t>57,213</w:t>
            </w:r>
          </w:p>
          <w:p>
            <w:pPr>
              <w:pStyle w:val="TableContents"/>
              <w:bidi w:val="0"/>
              <w:spacing w:before="0" w:after="0"/>
              <w:jc w:val="right"/>
              <w:rPr>
                <w:rFonts w:ascii="Times New Roman" w:hAnsi="Times New Roman"/>
                <w:sz w:val="20"/>
              </w:rPr>
            </w:pPr>
            <w:r>
              <w:rPr>
                <w:rFonts w:ascii="Times New Roman" w:hAnsi="Times New Roman"/>
                <w:sz w:val="20"/>
              </w:rPr>
              <w:t>52,238</w:t>
            </w:r>
          </w:p>
          <w:p>
            <w:pPr>
              <w:pStyle w:val="TableContents"/>
              <w:bidi w:val="0"/>
              <w:spacing w:before="0" w:after="0"/>
              <w:jc w:val="right"/>
              <w:rPr>
                <w:rFonts w:ascii="Times New Roman" w:hAnsi="Times New Roman"/>
                <w:sz w:val="20"/>
              </w:rPr>
            </w:pPr>
            <w:r>
              <w:rPr>
                <w:rFonts w:ascii="Times New Roman" w:hAnsi="Times New Roman"/>
                <w:sz w:val="20"/>
              </w:rPr>
              <w:t>37,313</w:t>
            </w:r>
          </w:p>
          <w:p>
            <w:pPr>
              <w:pStyle w:val="TableContents"/>
              <w:bidi w:val="0"/>
              <w:spacing w:before="0" w:after="0"/>
              <w:jc w:val="right"/>
              <w:rPr>
                <w:rFonts w:ascii="Times New Roman" w:hAnsi="Times New Roman"/>
                <w:sz w:val="20"/>
              </w:rPr>
            </w:pPr>
            <w:r>
              <w:rPr>
                <w:rFonts w:ascii="Times New Roman" w:hAnsi="Times New Roman"/>
                <w:sz w:val="20"/>
              </w:rPr>
              <w:t>27,363</w:t>
            </w:r>
          </w:p>
          <w:p>
            <w:pPr>
              <w:pStyle w:val="TableContents"/>
              <w:bidi w:val="0"/>
              <w:spacing w:before="0" w:after="20"/>
              <w:jc w:val="right"/>
              <w:rPr>
                <w:rFonts w:ascii="Times New Roman" w:hAnsi="Times New Roman"/>
                <w:sz w:val="20"/>
              </w:rPr>
            </w:pPr>
            <w:r>
              <w:rPr>
                <w:rFonts w:ascii="Times New Roman" w:hAnsi="Times New Roman"/>
                <w:sz w:val="20"/>
              </w:rPr>
              <w:t>24,875</w:t>
            </w:r>
          </w:p>
        </w:tc>
        <w:tc>
          <w:tcPr>
            <w:tcW w:w="470" w:type="dxa"/>
            <w:tcBorders/>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(23) </w:t>
            </w:r>
          </w:p>
        </w:tc>
        <w:tc>
          <w:tcPr>
            <w:tcW w:w="60" w:type="dxa"/>
            <w:tcBorders/>
            <w:vAlign w:val="bottom"/>
          </w:tcPr>
          <w:p>
            <w:pPr>
              <w:pStyle w:val="TableContents"/>
              <w:bidi w:val="0"/>
              <w:spacing w:before="0" w:after="283"/>
              <w:jc w:val="left"/>
              <w:rPr/>
            </w:pPr>
            <w:r>
              <w:rPr/>
              <w:t> </w:t>
            </w:r>
          </w:p>
        </w:tc>
        <w:tc>
          <w:tcPr>
            <w:tcW w:w="503" w:type="dxa"/>
            <w:tcBorders/>
          </w:tcPr>
          <w:p>
            <w:pPr>
              <w:pStyle w:val="TableContents"/>
              <w:bidi w:val="0"/>
              <w:spacing w:before="0" w:after="283"/>
              <w:jc w:val="center"/>
              <w:rPr/>
            </w:pPr>
            <w:r>
              <w:rPr/>
              <w:t>No</w:t>
              <w:br/>
              <w:t>No</w:t>
              <w:br/>
              <w:t>No</w:t>
              <w:br/>
              <w:t>No</w:t>
              <w:br/>
              <w:t>No</w:t>
            </w:r>
          </w:p>
        </w:tc>
        <w:tc>
          <w:tcPr>
            <w:tcW w:w="120" w:type="dxa"/>
            <w:tcBorders/>
            <w:vAlign w:val="bottom"/>
          </w:tcPr>
          <w:p>
            <w:pPr>
              <w:pStyle w:val="TableContents"/>
              <w:bidi w:val="0"/>
              <w:spacing w:before="0" w:after="283"/>
              <w:jc w:val="left"/>
              <w:rPr/>
            </w:pPr>
            <w:r>
              <w:rPr/>
              <w:t>  </w:t>
            </w:r>
          </w:p>
        </w:tc>
        <w:tc>
          <w:tcPr>
            <w:tcW w:w="112" w:type="dxa"/>
            <w:tcBorders/>
          </w:tcPr>
          <w:p>
            <w:pPr>
              <w:pStyle w:val="TableContents"/>
              <w:bidi w:val="0"/>
              <w:spacing w:before="0" w:after="283"/>
              <w:jc w:val="left"/>
              <w:rPr/>
            </w:pPr>
            <w:r>
              <w:rPr/>
              <w:t> </w:t>
            </w:r>
          </w:p>
        </w:tc>
        <w:tc>
          <w:tcPr>
            <w:tcW w:w="1002" w:type="dxa"/>
            <w:tcBorders/>
          </w:tcPr>
          <w:p>
            <w:pPr>
              <w:pStyle w:val="TableContents"/>
              <w:bidi w:val="0"/>
              <w:jc w:val="right"/>
              <w:rPr/>
            </w:pPr>
            <w:r>
              <w:rPr/>
              <w:t>Dec-27</w:t>
            </w:r>
          </w:p>
          <w:p>
            <w:pPr>
              <w:pStyle w:val="TableContents"/>
              <w:bidi w:val="0"/>
              <w:spacing w:before="0" w:after="0"/>
              <w:jc w:val="right"/>
              <w:rPr>
                <w:rFonts w:ascii="Times New Roman" w:hAnsi="Times New Roman"/>
                <w:sz w:val="20"/>
              </w:rPr>
            </w:pPr>
            <w:r>
              <w:rPr>
                <w:rFonts w:ascii="Times New Roman" w:hAnsi="Times New Roman"/>
                <w:sz w:val="20"/>
              </w:rPr>
              <w:t>Dec-30</w:t>
            </w:r>
          </w:p>
          <w:p>
            <w:pPr>
              <w:pStyle w:val="TableContents"/>
              <w:bidi w:val="0"/>
              <w:spacing w:before="0" w:after="0"/>
              <w:jc w:val="right"/>
              <w:rPr>
                <w:rFonts w:ascii="Times New Roman" w:hAnsi="Times New Roman"/>
                <w:sz w:val="20"/>
              </w:rPr>
            </w:pPr>
            <w:r>
              <w:rPr>
                <w:rFonts w:ascii="Times New Roman" w:hAnsi="Times New Roman"/>
                <w:sz w:val="20"/>
              </w:rPr>
              <w:t>Dec-32</w:t>
            </w:r>
          </w:p>
          <w:p>
            <w:pPr>
              <w:pStyle w:val="TableContents"/>
              <w:bidi w:val="0"/>
              <w:spacing w:before="0" w:after="0"/>
              <w:jc w:val="right"/>
              <w:rPr>
                <w:rFonts w:ascii="Times New Roman" w:hAnsi="Times New Roman"/>
                <w:sz w:val="20"/>
              </w:rPr>
            </w:pPr>
            <w:r>
              <w:rPr>
                <w:rFonts w:ascii="Times New Roman" w:hAnsi="Times New Roman"/>
                <w:sz w:val="20"/>
              </w:rPr>
              <w:t>Dec-34</w:t>
            </w:r>
          </w:p>
          <w:p>
            <w:pPr>
              <w:pStyle w:val="TableContents"/>
              <w:bidi w:val="0"/>
              <w:spacing w:before="0" w:after="20"/>
              <w:jc w:val="right"/>
              <w:rPr>
                <w:rFonts w:ascii="Times New Roman" w:hAnsi="Times New Roman"/>
                <w:sz w:val="20"/>
              </w:rPr>
            </w:pPr>
            <w:r>
              <w:rPr>
                <w:rFonts w:ascii="Times New Roman" w:hAnsi="Times New Roman"/>
                <w:sz w:val="20"/>
              </w:rPr>
              <w:t>Dec-36</w:t>
            </w:r>
          </w:p>
        </w:tc>
        <w:tc>
          <w:tcPr>
            <w:tcW w:w="67" w:type="dxa"/>
            <w:tcBorders/>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rHeight w:val="240" w:hRule="atLeast"/>
        </w:trPr>
        <w:tc>
          <w:tcPr>
            <w:tcW w:w="2164" w:type="dxa"/>
            <w:tcBorders/>
            <w:vAlign w:val="center"/>
          </w:tcPr>
          <w:p>
            <w:pPr>
              <w:pStyle w:val="TableContents"/>
              <w:bidi w:val="0"/>
              <w:spacing w:before="0" w:after="283"/>
              <w:jc w:val="left"/>
              <w:rPr>
                <w:sz w:val="4"/>
                <w:szCs w:val="4"/>
              </w:rPr>
            </w:pPr>
            <w:r>
              <w:rPr>
                <w:sz w:val="4"/>
                <w:szCs w:val="4"/>
              </w:rPr>
            </w:r>
          </w:p>
        </w:tc>
        <w:tc>
          <w:tcPr>
            <w:tcW w:w="2166"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563" w:type="dxa"/>
            <w:gridSpan w:val="2"/>
            <w:tcBorders/>
            <w:vAlign w:val="center"/>
          </w:tcPr>
          <w:p>
            <w:pPr>
              <w:pStyle w:val="TableContents"/>
              <w:bidi w:val="0"/>
              <w:spacing w:before="0" w:after="283"/>
              <w:jc w:val="left"/>
              <w:rPr>
                <w:sz w:val="4"/>
                <w:szCs w:val="4"/>
              </w:rPr>
            </w:pPr>
            <w:r>
              <w:rPr>
                <w:sz w:val="4"/>
                <w:szCs w:val="4"/>
              </w:rPr>
            </w:r>
          </w:p>
        </w:tc>
        <w:tc>
          <w:tcPr>
            <w:tcW w:w="1301" w:type="dxa"/>
            <w:gridSpan w:val="4"/>
            <w:tcBorders/>
            <w:vAlign w:val="center"/>
          </w:tcPr>
          <w:p>
            <w:pPr>
              <w:pStyle w:val="TableContents"/>
              <w:bidi w:val="0"/>
              <w:spacing w:before="0" w:after="283"/>
              <w:jc w:val="left"/>
              <w:rPr>
                <w:sz w:val="4"/>
                <w:szCs w:val="4"/>
              </w:rPr>
            </w:pPr>
            <w:r>
              <w:rPr>
                <w:sz w:val="4"/>
                <w:szCs w:val="4"/>
              </w:rPr>
            </w:r>
          </w:p>
        </w:tc>
      </w:tr>
      <w:tr>
        <w:trPr/>
        <w:tc>
          <w:tcPr>
            <w:tcW w:w="216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Tanker Vessels </w:t>
              <w:br/>
              <w:t>to be delivered</w:t>
            </w:r>
          </w:p>
        </w:tc>
        <w:tc>
          <w:tcPr>
            <w:tcW w:w="120" w:type="dxa"/>
            <w:tcBorders/>
            <w:vAlign w:val="bottom"/>
          </w:tcPr>
          <w:p>
            <w:pPr>
              <w:pStyle w:val="TableContents"/>
              <w:bidi w:val="0"/>
              <w:spacing w:before="0" w:after="283"/>
              <w:jc w:val="left"/>
              <w:rPr/>
            </w:pPr>
            <w:r>
              <w:rPr/>
              <w:t>  </w:t>
            </w:r>
          </w:p>
        </w:tc>
        <w:tc>
          <w:tcPr>
            <w:tcW w:w="2046" w:type="dxa"/>
            <w:tcBorders>
              <w:bottom w:val="single" w:sz="8" w:space="0" w:color="000000"/>
            </w:tcBorders>
            <w:tcMar>
              <w:bottom w:w="28" w:type="dxa"/>
            </w:tcMar>
            <w:vAlign w:val="bottom"/>
          </w:tcPr>
          <w:p>
            <w:pPr>
              <w:pStyle w:val="TableContents"/>
              <w:bidi w:val="0"/>
              <w:spacing w:before="0" w:after="283"/>
              <w:jc w:val="center"/>
              <w:rPr>
                <w:b/>
              </w:rPr>
            </w:pPr>
            <w:r>
              <w:rPr>
                <w:b/>
              </w:rPr>
              <w:t>Type</w:t>
            </w:r>
          </w:p>
        </w:tc>
        <w:tc>
          <w:tcPr>
            <w:tcW w:w="120" w:type="dxa"/>
            <w:tcBorders/>
            <w:vAlign w:val="bottom"/>
          </w:tcPr>
          <w:p>
            <w:pPr>
              <w:pStyle w:val="TableContents"/>
              <w:bidi w:val="0"/>
              <w:spacing w:before="0" w:after="283"/>
              <w:jc w:val="left"/>
              <w:rPr/>
            </w:pPr>
            <w:r>
              <w:rPr/>
              <w:t>  </w:t>
            </w:r>
          </w:p>
        </w:tc>
        <w:tc>
          <w:tcPr>
            <w:tcW w:w="875" w:type="dxa"/>
            <w:tcBorders>
              <w:bottom w:val="single" w:sz="8" w:space="0" w:color="000000"/>
            </w:tcBorders>
            <w:tcMar>
              <w:bottom w:w="28" w:type="dxa"/>
            </w:tcMar>
            <w:vAlign w:val="bottom"/>
          </w:tcPr>
          <w:p>
            <w:pPr>
              <w:pStyle w:val="TableContents"/>
              <w:bidi w:val="0"/>
              <w:spacing w:before="0" w:after="283"/>
              <w:jc w:val="center"/>
              <w:rPr>
                <w:b/>
              </w:rPr>
            </w:pPr>
            <w:r>
              <w:rPr>
                <w:b/>
              </w:rPr>
              <w:t>Delivery</w:t>
              <w:br/>
              <w:t>Date</w:t>
            </w:r>
          </w:p>
        </w:tc>
        <w:tc>
          <w:tcPr>
            <w:tcW w:w="12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Capacity</w:t>
              <w:br/>
              <w:t>(DWT)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Charter-Out</w:t>
              <w:br/>
              <w:t>Rate(1)</w:t>
            </w:r>
          </w:p>
        </w:tc>
        <w:tc>
          <w:tcPr>
            <w:tcW w:w="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Index(2)</w:t>
            </w:r>
          </w:p>
        </w:tc>
        <w:tc>
          <w:tcPr>
            <w:tcW w:w="120" w:type="dxa"/>
            <w:tcBorders/>
            <w:vAlign w:val="bottom"/>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bottom"/>
          </w:tcPr>
          <w:p>
            <w:pPr>
              <w:pStyle w:val="TableContents"/>
              <w:bidi w:val="0"/>
              <w:spacing w:before="0" w:after="283"/>
              <w:jc w:val="center"/>
              <w:rPr/>
            </w:pPr>
            <w:r>
              <w:rPr>
                <w:b/>
              </w:rPr>
              <w:t>Expiration</w:t>
            </w:r>
            <w:r>
              <w:rPr/>
              <w:br/>
            </w:r>
            <w:r>
              <w:rPr>
                <w:b/>
              </w:rPr>
              <w:t>Date(3)</w:t>
            </w:r>
          </w:p>
        </w:tc>
        <w:tc>
          <w:tcPr>
            <w:tcW w:w="67" w:type="dxa"/>
            <w:tcBorders/>
            <w:vAlign w:val="bottom"/>
          </w:tcPr>
          <w:p>
            <w:pPr>
              <w:pStyle w:val="TableContents"/>
              <w:bidi w:val="0"/>
              <w:spacing w:before="0" w:after="283"/>
              <w:jc w:val="left"/>
              <w:rPr/>
            </w:pPr>
            <w:r>
              <w:rPr/>
              <w:t> </w:t>
            </w:r>
          </w:p>
        </w:tc>
      </w:tr>
      <w:tr>
        <w:trPr/>
        <w:tc>
          <w:tcPr>
            <w:tcW w:w="2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TBN XII</w:t>
            </w:r>
          </w:p>
        </w:tc>
        <w:tc>
          <w:tcPr>
            <w:tcW w:w="120" w:type="dxa"/>
            <w:tcBorders/>
            <w:shd w:fill="CCEEFF" w:val="clear"/>
            <w:vAlign w:val="bottom"/>
          </w:tcPr>
          <w:p>
            <w:pPr>
              <w:pStyle w:val="TableContents"/>
              <w:bidi w:val="0"/>
              <w:spacing w:before="0" w:after="283"/>
              <w:jc w:val="left"/>
              <w:rPr/>
            </w:pPr>
            <w:r>
              <w:rPr/>
              <w:t>  </w:t>
            </w:r>
          </w:p>
        </w:tc>
        <w:tc>
          <w:tcPr>
            <w:tcW w:w="2046" w:type="dxa"/>
            <w:tcBorders/>
            <w:shd w:fill="CCEEFF" w:val="clear"/>
          </w:tcPr>
          <w:p>
            <w:pPr>
              <w:pStyle w:val="TableContents"/>
              <w:bidi w:val="0"/>
              <w:spacing w:before="0" w:after="283"/>
              <w:jc w:val="center"/>
              <w:rPr/>
            </w:pPr>
            <w:r>
              <w:rPr/>
              <w:t>Aframax / LR2</w:t>
            </w:r>
          </w:p>
        </w:tc>
        <w:tc>
          <w:tcPr>
            <w:tcW w:w="120" w:type="dxa"/>
            <w:tcBorders/>
            <w:shd w:fill="CCEEFF" w:val="clear"/>
            <w:vAlign w:val="bottom"/>
          </w:tcPr>
          <w:p>
            <w:pPr>
              <w:pStyle w:val="TableContents"/>
              <w:bidi w:val="0"/>
              <w:spacing w:before="0" w:after="283"/>
              <w:jc w:val="left"/>
              <w:rPr/>
            </w:pPr>
            <w:r>
              <w:rPr/>
              <w:t>  </w:t>
            </w:r>
          </w:p>
        </w:tc>
        <w:tc>
          <w:tcPr>
            <w:tcW w:w="875" w:type="dxa"/>
            <w:tcBorders/>
            <w:shd w:fill="CCEEFF" w:val="clear"/>
          </w:tcPr>
          <w:p>
            <w:pPr>
              <w:pStyle w:val="TableContents"/>
              <w:bidi w:val="0"/>
              <w:spacing w:before="0" w:after="283"/>
              <w:jc w:val="center"/>
              <w:rPr/>
            </w:pPr>
            <w:r>
              <w:rPr/>
              <w:t>H1 2024</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tcPr>
          <w:p>
            <w:pPr>
              <w:pStyle w:val="TableContents"/>
              <w:bidi w:val="0"/>
              <w:spacing w:before="0" w:after="283"/>
              <w:jc w:val="left"/>
              <w:rPr/>
            </w:pPr>
            <w:r>
              <w:rPr/>
              <w:t> </w:t>
            </w:r>
          </w:p>
        </w:tc>
        <w:tc>
          <w:tcPr>
            <w:tcW w:w="870" w:type="dxa"/>
            <w:tcBorders/>
            <w:shd w:fill="CCEEFF" w:val="clear"/>
          </w:tcPr>
          <w:p>
            <w:pPr>
              <w:pStyle w:val="TableContents"/>
              <w:bidi w:val="0"/>
              <w:spacing w:before="0" w:after="283"/>
              <w:jc w:val="right"/>
              <w:rPr/>
            </w:pPr>
            <w:r>
              <w:rPr/>
              <w:t>115,000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3" w:type="dxa"/>
            <w:tcBorders/>
            <w:shd w:fill="CCEEFF" w:val="clear"/>
          </w:tcPr>
          <w:p>
            <w:pPr>
              <w:pStyle w:val="TableContents"/>
              <w:bidi w:val="0"/>
              <w:spacing w:before="0" w:after="283"/>
              <w:jc w:val="left"/>
              <w:rPr/>
            </w:pPr>
            <w:r>
              <w:rPr/>
              <w:t>$</w:t>
            </w:r>
          </w:p>
        </w:tc>
        <w:tc>
          <w:tcPr>
            <w:tcW w:w="1088" w:type="dxa"/>
            <w:tcBorders/>
            <w:shd w:fill="CCEEFF" w:val="clear"/>
          </w:tcPr>
          <w:p>
            <w:pPr>
              <w:pStyle w:val="TableContents"/>
              <w:bidi w:val="0"/>
              <w:spacing w:before="0" w:after="283"/>
              <w:jc w:val="right"/>
              <w:rPr/>
            </w:pPr>
            <w:r>
              <w:rPr/>
              <w:t>26,366</w:t>
            </w:r>
          </w:p>
        </w:tc>
        <w:tc>
          <w:tcPr>
            <w:tcW w:w="470" w:type="dxa"/>
            <w:tcBorders/>
            <w:shd w:fill="CCEEFF" w:val="clear"/>
          </w:tcPr>
          <w:p>
            <w:pPr>
              <w:pStyle w:val="TableContents"/>
              <w:bidi w:val="0"/>
              <w:spacing w:before="0" w:after="283"/>
              <w:jc w:val="left"/>
              <w:rPr/>
            </w:pPr>
            <w:r>
              <w:rPr/>
              <w:t>(22) </w:t>
            </w:r>
          </w:p>
        </w:tc>
        <w:tc>
          <w:tcPr>
            <w:tcW w:w="60" w:type="dxa"/>
            <w:tcBorders/>
            <w:shd w:fill="CCEEFF" w:val="clear"/>
            <w:vAlign w:val="bottom"/>
          </w:tcPr>
          <w:p>
            <w:pPr>
              <w:pStyle w:val="TableContents"/>
              <w:bidi w:val="0"/>
              <w:spacing w:before="0" w:after="283"/>
              <w:jc w:val="left"/>
              <w:rPr/>
            </w:pPr>
            <w:r>
              <w:rPr/>
              <w:t> </w:t>
            </w:r>
          </w:p>
        </w:tc>
        <w:tc>
          <w:tcPr>
            <w:tcW w:w="503" w:type="dxa"/>
            <w:tcBorders/>
            <w:shd w:fill="CCEEFF" w:val="clear"/>
          </w:tcPr>
          <w:p>
            <w:pPr>
              <w:pStyle w:val="TableContents"/>
              <w:bidi w:val="0"/>
              <w:spacing w:before="0" w:after="283"/>
              <w:jc w:val="center"/>
              <w:rPr/>
            </w:pPr>
            <w:r>
              <w:rPr/>
              <w:t>No</w:t>
            </w:r>
          </w:p>
        </w:tc>
        <w:tc>
          <w:tcPr>
            <w:tcW w:w="120" w:type="dxa"/>
            <w:tcBorders/>
            <w:shd w:fill="CCEEFF" w:val="clear"/>
            <w:vAlign w:val="bottom"/>
          </w:tcPr>
          <w:p>
            <w:pPr>
              <w:pStyle w:val="TableContents"/>
              <w:bidi w:val="0"/>
              <w:spacing w:before="0" w:after="283"/>
              <w:jc w:val="left"/>
              <w:rPr/>
            </w:pPr>
            <w:r>
              <w:rPr/>
              <w:t>  </w:t>
            </w:r>
          </w:p>
        </w:tc>
        <w:tc>
          <w:tcPr>
            <w:tcW w:w="112" w:type="dxa"/>
            <w:tcBorders/>
            <w:shd w:fill="CCEEFF" w:val="clear"/>
          </w:tcPr>
          <w:p>
            <w:pPr>
              <w:pStyle w:val="TableContents"/>
              <w:bidi w:val="0"/>
              <w:spacing w:before="0" w:after="283"/>
              <w:jc w:val="left"/>
              <w:rPr/>
            </w:pPr>
            <w:r>
              <w:rPr/>
              <w:t> </w:t>
            </w:r>
          </w:p>
        </w:tc>
        <w:tc>
          <w:tcPr>
            <w:tcW w:w="1002" w:type="dxa"/>
            <w:tcBorders/>
            <w:shd w:fill="CCEEFF" w:val="clear"/>
          </w:tcPr>
          <w:p>
            <w:pPr>
              <w:pStyle w:val="TableContents"/>
              <w:bidi w:val="0"/>
              <w:spacing w:before="0" w:after="283"/>
              <w:jc w:val="right"/>
              <w:rPr/>
            </w:pPr>
            <w:r>
              <w:rPr/>
              <w:t>Apr-29</w:t>
            </w:r>
          </w:p>
        </w:tc>
        <w:tc>
          <w:tcPr>
            <w:tcW w:w="67" w:type="dxa"/>
            <w:tcBorders/>
            <w:shd w:fill="CCEEFF" w:val="clear"/>
          </w:tcPr>
          <w:p>
            <w:pPr>
              <w:pStyle w:val="TableContents"/>
              <w:bidi w:val="0"/>
              <w:spacing w:before="0" w:after="283"/>
              <w:jc w:val="left"/>
              <w:rPr/>
            </w:pPr>
            <w:r>
              <w:rPr/>
              <w:t> </w:t>
            </w:r>
          </w:p>
        </w:tc>
      </w:tr>
      <w:tr>
        <w:trPr/>
        <w:tc>
          <w:tcPr>
            <w:tcW w:w="2164" w:type="dxa"/>
            <w:tcBorders/>
          </w:tcPr>
          <w:p>
            <w:pPr>
              <w:pStyle w:val="TableContents"/>
              <w:bidi w:val="0"/>
              <w:spacing w:before="0" w:after="0"/>
              <w:jc w:val="left"/>
              <w:rPr>
                <w:rFonts w:ascii="Times New Roman" w:hAnsi="Times New Roman"/>
                <w:sz w:val="20"/>
              </w:rPr>
            </w:pPr>
            <w:r>
              <w:rPr>
                <w:rFonts w:ascii="Times New Roman" w:hAnsi="Times New Roman"/>
                <w:sz w:val="20"/>
              </w:rPr>
              <w:t>TBN XIII</w:t>
            </w:r>
          </w:p>
        </w:tc>
        <w:tc>
          <w:tcPr>
            <w:tcW w:w="120" w:type="dxa"/>
            <w:tcBorders/>
            <w:vAlign w:val="bottom"/>
          </w:tcPr>
          <w:p>
            <w:pPr>
              <w:pStyle w:val="TableContents"/>
              <w:bidi w:val="0"/>
              <w:spacing w:before="0" w:after="283"/>
              <w:jc w:val="left"/>
              <w:rPr/>
            </w:pPr>
            <w:r>
              <w:rPr/>
              <w:t>  </w:t>
            </w:r>
          </w:p>
        </w:tc>
        <w:tc>
          <w:tcPr>
            <w:tcW w:w="2046" w:type="dxa"/>
            <w:tcBorders/>
          </w:tcPr>
          <w:p>
            <w:pPr>
              <w:pStyle w:val="TableContents"/>
              <w:bidi w:val="0"/>
              <w:spacing w:before="0" w:after="283"/>
              <w:jc w:val="center"/>
              <w:rPr/>
            </w:pPr>
            <w:r>
              <w:rPr/>
              <w:t>Aframax / LR2</w:t>
            </w:r>
          </w:p>
        </w:tc>
        <w:tc>
          <w:tcPr>
            <w:tcW w:w="120"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H2 2024</w:t>
            </w:r>
          </w:p>
        </w:tc>
        <w:tc>
          <w:tcPr>
            <w:tcW w:w="120" w:type="dxa"/>
            <w:tcBorders/>
            <w:vAlign w:val="bottom"/>
          </w:tcPr>
          <w:p>
            <w:pPr>
              <w:pStyle w:val="TableContents"/>
              <w:bidi w:val="0"/>
              <w:spacing w:before="0" w:after="283"/>
              <w:jc w:val="left"/>
              <w:rPr/>
            </w:pPr>
            <w:r>
              <w:rPr/>
              <w:t>  </w:t>
            </w:r>
          </w:p>
        </w:tc>
        <w:tc>
          <w:tcPr>
            <w:tcW w:w="65" w:type="dxa"/>
            <w:tcBorders/>
          </w:tcPr>
          <w:p>
            <w:pPr>
              <w:pStyle w:val="TableContents"/>
              <w:bidi w:val="0"/>
              <w:spacing w:before="0" w:after="283"/>
              <w:jc w:val="left"/>
              <w:rPr/>
            </w:pPr>
            <w:r>
              <w:rPr/>
              <w:t> </w:t>
            </w:r>
          </w:p>
        </w:tc>
        <w:tc>
          <w:tcPr>
            <w:tcW w:w="870" w:type="dxa"/>
            <w:tcBorders/>
          </w:tcPr>
          <w:p>
            <w:pPr>
              <w:pStyle w:val="TableContents"/>
              <w:bidi w:val="0"/>
              <w:spacing w:before="0" w:after="283"/>
              <w:jc w:val="right"/>
              <w:rPr/>
            </w:pPr>
            <w:r>
              <w:rPr/>
              <w:t>115,000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3" w:type="dxa"/>
            <w:tcBorders/>
          </w:tcPr>
          <w:p>
            <w:pPr>
              <w:pStyle w:val="TableContents"/>
              <w:bidi w:val="0"/>
              <w:spacing w:before="0" w:after="283"/>
              <w:jc w:val="left"/>
              <w:rPr/>
            </w:pPr>
            <w:r>
              <w:rPr/>
              <w:t>$</w:t>
            </w:r>
          </w:p>
        </w:tc>
        <w:tc>
          <w:tcPr>
            <w:tcW w:w="1088" w:type="dxa"/>
            <w:tcBorders/>
          </w:tcPr>
          <w:p>
            <w:pPr>
              <w:pStyle w:val="TableContents"/>
              <w:bidi w:val="0"/>
              <w:spacing w:before="0" w:after="283"/>
              <w:jc w:val="right"/>
              <w:rPr/>
            </w:pPr>
            <w:r>
              <w:rPr/>
              <w:t>26,366</w:t>
            </w:r>
          </w:p>
        </w:tc>
        <w:tc>
          <w:tcPr>
            <w:tcW w:w="470" w:type="dxa"/>
            <w:tcBorders/>
          </w:tcPr>
          <w:p>
            <w:pPr>
              <w:pStyle w:val="TableContents"/>
              <w:bidi w:val="0"/>
              <w:spacing w:before="0" w:after="283"/>
              <w:jc w:val="left"/>
              <w:rPr/>
            </w:pPr>
            <w:r>
              <w:rPr/>
              <w:t>(22) </w:t>
            </w:r>
          </w:p>
        </w:tc>
        <w:tc>
          <w:tcPr>
            <w:tcW w:w="60" w:type="dxa"/>
            <w:tcBorders/>
            <w:vAlign w:val="bottom"/>
          </w:tcPr>
          <w:p>
            <w:pPr>
              <w:pStyle w:val="TableContents"/>
              <w:bidi w:val="0"/>
              <w:spacing w:before="0" w:after="283"/>
              <w:jc w:val="left"/>
              <w:rPr/>
            </w:pPr>
            <w:r>
              <w:rPr/>
              <w:t> </w:t>
            </w:r>
          </w:p>
        </w:tc>
        <w:tc>
          <w:tcPr>
            <w:tcW w:w="503" w:type="dxa"/>
            <w:tcBorders/>
          </w:tcPr>
          <w:p>
            <w:pPr>
              <w:pStyle w:val="TableContents"/>
              <w:bidi w:val="0"/>
              <w:spacing w:before="0" w:after="283"/>
              <w:jc w:val="center"/>
              <w:rPr/>
            </w:pPr>
            <w:r>
              <w:rPr/>
              <w:t>No</w:t>
            </w:r>
          </w:p>
        </w:tc>
        <w:tc>
          <w:tcPr>
            <w:tcW w:w="120" w:type="dxa"/>
            <w:tcBorders/>
            <w:vAlign w:val="bottom"/>
          </w:tcPr>
          <w:p>
            <w:pPr>
              <w:pStyle w:val="TableContents"/>
              <w:bidi w:val="0"/>
              <w:spacing w:before="0" w:after="283"/>
              <w:jc w:val="left"/>
              <w:rPr/>
            </w:pPr>
            <w:r>
              <w:rPr/>
              <w:t>  </w:t>
            </w:r>
          </w:p>
        </w:tc>
        <w:tc>
          <w:tcPr>
            <w:tcW w:w="112" w:type="dxa"/>
            <w:tcBorders/>
          </w:tcPr>
          <w:p>
            <w:pPr>
              <w:pStyle w:val="TableContents"/>
              <w:bidi w:val="0"/>
              <w:spacing w:before="0" w:after="283"/>
              <w:jc w:val="left"/>
              <w:rPr/>
            </w:pPr>
            <w:r>
              <w:rPr/>
              <w:t> </w:t>
            </w:r>
          </w:p>
        </w:tc>
        <w:tc>
          <w:tcPr>
            <w:tcW w:w="1002" w:type="dxa"/>
            <w:tcBorders/>
          </w:tcPr>
          <w:p>
            <w:pPr>
              <w:pStyle w:val="TableContents"/>
              <w:bidi w:val="0"/>
              <w:spacing w:before="0" w:after="283"/>
              <w:jc w:val="right"/>
              <w:rPr/>
            </w:pPr>
            <w:r>
              <w:rPr/>
              <w:t>Jul-29</w:t>
            </w:r>
          </w:p>
        </w:tc>
        <w:tc>
          <w:tcPr>
            <w:tcW w:w="67" w:type="dxa"/>
            <w:tcBorders/>
          </w:tcPr>
          <w:p>
            <w:pPr>
              <w:pStyle w:val="TableContents"/>
              <w:bidi w:val="0"/>
              <w:spacing w:before="0" w:after="283"/>
              <w:jc w:val="left"/>
              <w:rPr/>
            </w:pPr>
            <w:r>
              <w:rPr/>
              <w:t> </w:t>
            </w:r>
          </w:p>
        </w:tc>
      </w:tr>
      <w:tr>
        <w:trPr/>
        <w:tc>
          <w:tcPr>
            <w:tcW w:w="2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TBN XIV</w:t>
            </w:r>
          </w:p>
        </w:tc>
        <w:tc>
          <w:tcPr>
            <w:tcW w:w="120" w:type="dxa"/>
            <w:tcBorders/>
            <w:shd w:fill="CCEEFF" w:val="clear"/>
            <w:vAlign w:val="bottom"/>
          </w:tcPr>
          <w:p>
            <w:pPr>
              <w:pStyle w:val="TableContents"/>
              <w:bidi w:val="0"/>
              <w:spacing w:before="0" w:after="283"/>
              <w:jc w:val="left"/>
              <w:rPr/>
            </w:pPr>
            <w:r>
              <w:rPr/>
              <w:t>  </w:t>
            </w:r>
          </w:p>
        </w:tc>
        <w:tc>
          <w:tcPr>
            <w:tcW w:w="2046" w:type="dxa"/>
            <w:tcBorders/>
            <w:shd w:fill="CCEEFF" w:val="clear"/>
          </w:tcPr>
          <w:p>
            <w:pPr>
              <w:pStyle w:val="TableContents"/>
              <w:bidi w:val="0"/>
              <w:spacing w:before="0" w:after="283"/>
              <w:jc w:val="center"/>
              <w:rPr/>
            </w:pPr>
            <w:r>
              <w:rPr/>
              <w:t>Aframax / LR2</w:t>
            </w:r>
          </w:p>
        </w:tc>
        <w:tc>
          <w:tcPr>
            <w:tcW w:w="120" w:type="dxa"/>
            <w:tcBorders/>
            <w:shd w:fill="CCEEFF" w:val="clear"/>
            <w:vAlign w:val="bottom"/>
          </w:tcPr>
          <w:p>
            <w:pPr>
              <w:pStyle w:val="TableContents"/>
              <w:bidi w:val="0"/>
              <w:spacing w:before="0" w:after="283"/>
              <w:jc w:val="left"/>
              <w:rPr/>
            </w:pPr>
            <w:r>
              <w:rPr/>
              <w:t>  </w:t>
            </w:r>
          </w:p>
        </w:tc>
        <w:tc>
          <w:tcPr>
            <w:tcW w:w="875" w:type="dxa"/>
            <w:tcBorders/>
            <w:shd w:fill="CCEEFF" w:val="clear"/>
          </w:tcPr>
          <w:p>
            <w:pPr>
              <w:pStyle w:val="TableContents"/>
              <w:bidi w:val="0"/>
              <w:spacing w:before="0" w:after="283"/>
              <w:jc w:val="center"/>
              <w:rPr/>
            </w:pPr>
            <w:r>
              <w:rPr/>
              <w:t>H2 2024</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tcPr>
          <w:p>
            <w:pPr>
              <w:pStyle w:val="TableContents"/>
              <w:bidi w:val="0"/>
              <w:spacing w:before="0" w:after="283"/>
              <w:jc w:val="left"/>
              <w:rPr/>
            </w:pPr>
            <w:r>
              <w:rPr/>
              <w:t> </w:t>
            </w:r>
          </w:p>
        </w:tc>
        <w:tc>
          <w:tcPr>
            <w:tcW w:w="870" w:type="dxa"/>
            <w:tcBorders/>
            <w:shd w:fill="CCEEFF" w:val="clear"/>
          </w:tcPr>
          <w:p>
            <w:pPr>
              <w:pStyle w:val="TableContents"/>
              <w:bidi w:val="0"/>
              <w:spacing w:before="0" w:after="283"/>
              <w:jc w:val="right"/>
              <w:rPr/>
            </w:pPr>
            <w:r>
              <w:rPr/>
              <w:t>115,000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3" w:type="dxa"/>
            <w:tcBorders/>
            <w:shd w:fill="CCEEFF" w:val="clear"/>
          </w:tcPr>
          <w:p>
            <w:pPr>
              <w:pStyle w:val="TableContents"/>
              <w:bidi w:val="0"/>
              <w:spacing w:before="0" w:after="283"/>
              <w:jc w:val="left"/>
              <w:rPr/>
            </w:pPr>
            <w:r>
              <w:rPr/>
              <w:t>$</w:t>
            </w:r>
          </w:p>
        </w:tc>
        <w:tc>
          <w:tcPr>
            <w:tcW w:w="1088" w:type="dxa"/>
            <w:tcBorders/>
            <w:shd w:fill="CCEEFF" w:val="clear"/>
          </w:tcPr>
          <w:p>
            <w:pPr>
              <w:pStyle w:val="TableContents"/>
              <w:bidi w:val="0"/>
              <w:spacing w:before="0" w:after="283"/>
              <w:jc w:val="right"/>
              <w:rPr/>
            </w:pPr>
            <w:r>
              <w:rPr/>
              <w:t>25,576</w:t>
            </w:r>
          </w:p>
        </w:tc>
        <w:tc>
          <w:tcPr>
            <w:tcW w:w="470" w:type="dxa"/>
            <w:tcBorders/>
            <w:shd w:fill="CCEEFF" w:val="clear"/>
          </w:tcPr>
          <w:p>
            <w:pPr>
              <w:pStyle w:val="TableContents"/>
              <w:bidi w:val="0"/>
              <w:spacing w:before="0" w:after="283"/>
              <w:jc w:val="left"/>
              <w:rPr/>
            </w:pPr>
            <w:r>
              <w:rPr/>
              <w:t>(22) </w:t>
            </w:r>
          </w:p>
        </w:tc>
        <w:tc>
          <w:tcPr>
            <w:tcW w:w="60" w:type="dxa"/>
            <w:tcBorders/>
            <w:shd w:fill="CCEEFF" w:val="clear"/>
            <w:vAlign w:val="bottom"/>
          </w:tcPr>
          <w:p>
            <w:pPr>
              <w:pStyle w:val="TableContents"/>
              <w:bidi w:val="0"/>
              <w:spacing w:before="0" w:after="283"/>
              <w:jc w:val="left"/>
              <w:rPr/>
            </w:pPr>
            <w:r>
              <w:rPr/>
              <w:t> </w:t>
            </w:r>
          </w:p>
        </w:tc>
        <w:tc>
          <w:tcPr>
            <w:tcW w:w="503" w:type="dxa"/>
            <w:tcBorders/>
            <w:shd w:fill="CCEEFF" w:val="clear"/>
          </w:tcPr>
          <w:p>
            <w:pPr>
              <w:pStyle w:val="TableContents"/>
              <w:bidi w:val="0"/>
              <w:spacing w:before="0" w:after="283"/>
              <w:jc w:val="center"/>
              <w:rPr/>
            </w:pPr>
            <w:r>
              <w:rPr/>
              <w:t>No</w:t>
            </w:r>
          </w:p>
        </w:tc>
        <w:tc>
          <w:tcPr>
            <w:tcW w:w="120" w:type="dxa"/>
            <w:tcBorders/>
            <w:shd w:fill="CCEEFF" w:val="clear"/>
            <w:vAlign w:val="bottom"/>
          </w:tcPr>
          <w:p>
            <w:pPr>
              <w:pStyle w:val="TableContents"/>
              <w:bidi w:val="0"/>
              <w:spacing w:before="0" w:after="283"/>
              <w:jc w:val="left"/>
              <w:rPr/>
            </w:pPr>
            <w:r>
              <w:rPr/>
              <w:t>  </w:t>
            </w:r>
          </w:p>
        </w:tc>
        <w:tc>
          <w:tcPr>
            <w:tcW w:w="112" w:type="dxa"/>
            <w:tcBorders/>
            <w:shd w:fill="CCEEFF" w:val="clear"/>
          </w:tcPr>
          <w:p>
            <w:pPr>
              <w:pStyle w:val="TableContents"/>
              <w:bidi w:val="0"/>
              <w:spacing w:before="0" w:after="283"/>
              <w:jc w:val="left"/>
              <w:rPr/>
            </w:pPr>
            <w:r>
              <w:rPr/>
              <w:t> </w:t>
            </w:r>
          </w:p>
        </w:tc>
        <w:tc>
          <w:tcPr>
            <w:tcW w:w="1002" w:type="dxa"/>
            <w:tcBorders/>
            <w:shd w:fill="CCEEFF" w:val="clear"/>
          </w:tcPr>
          <w:p>
            <w:pPr>
              <w:pStyle w:val="TableContents"/>
              <w:bidi w:val="0"/>
              <w:spacing w:before="0" w:after="283"/>
              <w:jc w:val="right"/>
              <w:rPr/>
            </w:pPr>
            <w:r>
              <w:rPr/>
              <w:t>Oct-29</w:t>
            </w:r>
          </w:p>
        </w:tc>
        <w:tc>
          <w:tcPr>
            <w:tcW w:w="67" w:type="dxa"/>
            <w:tcBorders/>
            <w:shd w:fill="CCEEFF" w:val="clear"/>
          </w:tcPr>
          <w:p>
            <w:pPr>
              <w:pStyle w:val="TableContents"/>
              <w:bidi w:val="0"/>
              <w:spacing w:before="0" w:after="283"/>
              <w:jc w:val="left"/>
              <w:rPr/>
            </w:pPr>
            <w:r>
              <w:rPr/>
              <w:t> </w:t>
            </w:r>
          </w:p>
        </w:tc>
      </w:tr>
      <w:tr>
        <w:trPr/>
        <w:tc>
          <w:tcPr>
            <w:tcW w:w="2164" w:type="dxa"/>
            <w:tcBorders/>
          </w:tcPr>
          <w:p>
            <w:pPr>
              <w:pStyle w:val="TableContents"/>
              <w:bidi w:val="0"/>
              <w:spacing w:before="0" w:after="0"/>
              <w:jc w:val="left"/>
              <w:rPr>
                <w:rFonts w:ascii="Times New Roman" w:hAnsi="Times New Roman"/>
                <w:sz w:val="20"/>
              </w:rPr>
            </w:pPr>
            <w:r>
              <w:rPr>
                <w:rFonts w:ascii="Times New Roman" w:hAnsi="Times New Roman"/>
                <w:sz w:val="20"/>
              </w:rPr>
              <w:t>TBN XV</w:t>
            </w:r>
          </w:p>
        </w:tc>
        <w:tc>
          <w:tcPr>
            <w:tcW w:w="120" w:type="dxa"/>
            <w:tcBorders/>
            <w:vAlign w:val="bottom"/>
          </w:tcPr>
          <w:p>
            <w:pPr>
              <w:pStyle w:val="TableContents"/>
              <w:bidi w:val="0"/>
              <w:spacing w:before="0" w:after="283"/>
              <w:jc w:val="left"/>
              <w:rPr/>
            </w:pPr>
            <w:r>
              <w:rPr/>
              <w:t>  </w:t>
            </w:r>
          </w:p>
        </w:tc>
        <w:tc>
          <w:tcPr>
            <w:tcW w:w="2046" w:type="dxa"/>
            <w:tcBorders/>
          </w:tcPr>
          <w:p>
            <w:pPr>
              <w:pStyle w:val="TableContents"/>
              <w:bidi w:val="0"/>
              <w:spacing w:before="0" w:after="283"/>
              <w:jc w:val="center"/>
              <w:rPr/>
            </w:pPr>
            <w:r>
              <w:rPr/>
              <w:t>Aframax / LR2</w:t>
            </w:r>
          </w:p>
        </w:tc>
        <w:tc>
          <w:tcPr>
            <w:tcW w:w="120"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H2 2024</w:t>
            </w:r>
          </w:p>
        </w:tc>
        <w:tc>
          <w:tcPr>
            <w:tcW w:w="120" w:type="dxa"/>
            <w:tcBorders/>
            <w:vAlign w:val="bottom"/>
          </w:tcPr>
          <w:p>
            <w:pPr>
              <w:pStyle w:val="TableContents"/>
              <w:bidi w:val="0"/>
              <w:spacing w:before="0" w:after="283"/>
              <w:jc w:val="left"/>
              <w:rPr/>
            </w:pPr>
            <w:r>
              <w:rPr/>
              <w:t>  </w:t>
            </w:r>
          </w:p>
        </w:tc>
        <w:tc>
          <w:tcPr>
            <w:tcW w:w="65" w:type="dxa"/>
            <w:tcBorders/>
          </w:tcPr>
          <w:p>
            <w:pPr>
              <w:pStyle w:val="TableContents"/>
              <w:bidi w:val="0"/>
              <w:spacing w:before="0" w:after="283"/>
              <w:jc w:val="left"/>
              <w:rPr/>
            </w:pPr>
            <w:r>
              <w:rPr/>
              <w:t> </w:t>
            </w:r>
          </w:p>
        </w:tc>
        <w:tc>
          <w:tcPr>
            <w:tcW w:w="870" w:type="dxa"/>
            <w:tcBorders/>
          </w:tcPr>
          <w:p>
            <w:pPr>
              <w:pStyle w:val="TableContents"/>
              <w:bidi w:val="0"/>
              <w:spacing w:before="0" w:after="283"/>
              <w:jc w:val="right"/>
              <w:rPr/>
            </w:pPr>
            <w:r>
              <w:rPr/>
              <w:t>115,000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3" w:type="dxa"/>
            <w:tcBorders/>
          </w:tcPr>
          <w:p>
            <w:pPr>
              <w:pStyle w:val="TableContents"/>
              <w:bidi w:val="0"/>
              <w:spacing w:before="0" w:after="283"/>
              <w:jc w:val="left"/>
              <w:rPr/>
            </w:pPr>
            <w:r>
              <w:rPr/>
              <w:t>$</w:t>
            </w:r>
          </w:p>
        </w:tc>
        <w:tc>
          <w:tcPr>
            <w:tcW w:w="1088" w:type="dxa"/>
            <w:tcBorders/>
          </w:tcPr>
          <w:p>
            <w:pPr>
              <w:pStyle w:val="TableContents"/>
              <w:bidi w:val="0"/>
              <w:spacing w:before="0" w:after="283"/>
              <w:jc w:val="right"/>
              <w:rPr/>
            </w:pPr>
            <w:r>
              <w:rPr/>
              <w:t>25,576</w:t>
            </w:r>
          </w:p>
        </w:tc>
        <w:tc>
          <w:tcPr>
            <w:tcW w:w="470" w:type="dxa"/>
            <w:tcBorders/>
          </w:tcPr>
          <w:p>
            <w:pPr>
              <w:pStyle w:val="TableContents"/>
              <w:bidi w:val="0"/>
              <w:spacing w:before="0" w:after="283"/>
              <w:jc w:val="left"/>
              <w:rPr/>
            </w:pPr>
            <w:r>
              <w:rPr/>
              <w:t>(22) </w:t>
            </w:r>
          </w:p>
        </w:tc>
        <w:tc>
          <w:tcPr>
            <w:tcW w:w="60" w:type="dxa"/>
            <w:tcBorders/>
            <w:vAlign w:val="bottom"/>
          </w:tcPr>
          <w:p>
            <w:pPr>
              <w:pStyle w:val="TableContents"/>
              <w:bidi w:val="0"/>
              <w:spacing w:before="0" w:after="283"/>
              <w:jc w:val="left"/>
              <w:rPr/>
            </w:pPr>
            <w:r>
              <w:rPr/>
              <w:t> </w:t>
            </w:r>
          </w:p>
        </w:tc>
        <w:tc>
          <w:tcPr>
            <w:tcW w:w="503" w:type="dxa"/>
            <w:tcBorders/>
          </w:tcPr>
          <w:p>
            <w:pPr>
              <w:pStyle w:val="TableContents"/>
              <w:bidi w:val="0"/>
              <w:spacing w:before="0" w:after="283"/>
              <w:jc w:val="center"/>
              <w:rPr/>
            </w:pPr>
            <w:r>
              <w:rPr/>
              <w:t>No</w:t>
            </w:r>
          </w:p>
        </w:tc>
        <w:tc>
          <w:tcPr>
            <w:tcW w:w="120" w:type="dxa"/>
            <w:tcBorders/>
            <w:vAlign w:val="bottom"/>
          </w:tcPr>
          <w:p>
            <w:pPr>
              <w:pStyle w:val="TableContents"/>
              <w:bidi w:val="0"/>
              <w:spacing w:before="0" w:after="283"/>
              <w:jc w:val="left"/>
              <w:rPr/>
            </w:pPr>
            <w:r>
              <w:rPr/>
              <w:t>  </w:t>
            </w:r>
          </w:p>
        </w:tc>
        <w:tc>
          <w:tcPr>
            <w:tcW w:w="112" w:type="dxa"/>
            <w:tcBorders/>
          </w:tcPr>
          <w:p>
            <w:pPr>
              <w:pStyle w:val="TableContents"/>
              <w:bidi w:val="0"/>
              <w:spacing w:before="0" w:after="283"/>
              <w:jc w:val="left"/>
              <w:rPr/>
            </w:pPr>
            <w:r>
              <w:rPr/>
              <w:t> </w:t>
            </w:r>
          </w:p>
        </w:tc>
        <w:tc>
          <w:tcPr>
            <w:tcW w:w="1002" w:type="dxa"/>
            <w:tcBorders/>
          </w:tcPr>
          <w:p>
            <w:pPr>
              <w:pStyle w:val="TableContents"/>
              <w:bidi w:val="0"/>
              <w:spacing w:before="0" w:after="283"/>
              <w:jc w:val="right"/>
              <w:rPr/>
            </w:pPr>
            <w:r>
              <w:rPr/>
              <w:t>Dec-29</w:t>
            </w:r>
          </w:p>
        </w:tc>
        <w:tc>
          <w:tcPr>
            <w:tcW w:w="67" w:type="dxa"/>
            <w:tcBorders/>
          </w:tcPr>
          <w:p>
            <w:pPr>
              <w:pStyle w:val="TableContents"/>
              <w:bidi w:val="0"/>
              <w:spacing w:before="0" w:after="283"/>
              <w:jc w:val="left"/>
              <w:rPr/>
            </w:pPr>
            <w:r>
              <w:rPr/>
              <w:t> </w:t>
            </w:r>
          </w:p>
        </w:tc>
      </w:tr>
      <w:tr>
        <w:trPr/>
        <w:tc>
          <w:tcPr>
            <w:tcW w:w="2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TBN XVI</w:t>
            </w:r>
          </w:p>
        </w:tc>
        <w:tc>
          <w:tcPr>
            <w:tcW w:w="120" w:type="dxa"/>
            <w:tcBorders/>
            <w:shd w:fill="CCEEFF" w:val="clear"/>
            <w:vAlign w:val="bottom"/>
          </w:tcPr>
          <w:p>
            <w:pPr>
              <w:pStyle w:val="TableContents"/>
              <w:bidi w:val="0"/>
              <w:spacing w:before="0" w:after="283"/>
              <w:jc w:val="left"/>
              <w:rPr/>
            </w:pPr>
            <w:r>
              <w:rPr/>
              <w:t>  </w:t>
            </w:r>
          </w:p>
        </w:tc>
        <w:tc>
          <w:tcPr>
            <w:tcW w:w="2046" w:type="dxa"/>
            <w:tcBorders/>
            <w:shd w:fill="CCEEFF" w:val="clear"/>
          </w:tcPr>
          <w:p>
            <w:pPr>
              <w:pStyle w:val="TableContents"/>
              <w:bidi w:val="0"/>
              <w:spacing w:before="0" w:after="283"/>
              <w:jc w:val="center"/>
              <w:rPr/>
            </w:pPr>
            <w:r>
              <w:rPr/>
              <w:t>Aframax / LR2</w:t>
            </w:r>
          </w:p>
        </w:tc>
        <w:tc>
          <w:tcPr>
            <w:tcW w:w="120" w:type="dxa"/>
            <w:tcBorders/>
            <w:shd w:fill="CCEEFF" w:val="clear"/>
            <w:vAlign w:val="bottom"/>
          </w:tcPr>
          <w:p>
            <w:pPr>
              <w:pStyle w:val="TableContents"/>
              <w:bidi w:val="0"/>
              <w:spacing w:before="0" w:after="283"/>
              <w:jc w:val="left"/>
              <w:rPr/>
            </w:pPr>
            <w:r>
              <w:rPr/>
              <w:t>  </w:t>
            </w:r>
          </w:p>
        </w:tc>
        <w:tc>
          <w:tcPr>
            <w:tcW w:w="875" w:type="dxa"/>
            <w:tcBorders/>
            <w:shd w:fill="CCEEFF" w:val="clear"/>
          </w:tcPr>
          <w:p>
            <w:pPr>
              <w:pStyle w:val="TableContents"/>
              <w:bidi w:val="0"/>
              <w:spacing w:before="0" w:after="283"/>
              <w:jc w:val="center"/>
              <w:rPr/>
            </w:pPr>
            <w:r>
              <w:rPr/>
              <w:t>H1 2025</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tcPr>
          <w:p>
            <w:pPr>
              <w:pStyle w:val="TableContents"/>
              <w:bidi w:val="0"/>
              <w:spacing w:before="0" w:after="283"/>
              <w:jc w:val="left"/>
              <w:rPr/>
            </w:pPr>
            <w:r>
              <w:rPr/>
              <w:t> </w:t>
            </w:r>
          </w:p>
        </w:tc>
        <w:tc>
          <w:tcPr>
            <w:tcW w:w="870" w:type="dxa"/>
            <w:tcBorders/>
            <w:shd w:fill="CCEEFF" w:val="clear"/>
          </w:tcPr>
          <w:p>
            <w:pPr>
              <w:pStyle w:val="TableContents"/>
              <w:bidi w:val="0"/>
              <w:spacing w:before="0" w:after="283"/>
              <w:jc w:val="right"/>
              <w:rPr/>
            </w:pPr>
            <w:r>
              <w:rPr/>
              <w:t>115,000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3" w:type="dxa"/>
            <w:tcBorders/>
            <w:shd w:fill="CCEEFF" w:val="clear"/>
          </w:tcPr>
          <w:p>
            <w:pPr>
              <w:pStyle w:val="TableContents"/>
              <w:bidi w:val="0"/>
              <w:spacing w:before="0" w:after="283"/>
              <w:jc w:val="left"/>
              <w:rPr/>
            </w:pPr>
            <w:r>
              <w:rPr/>
              <w:t>$</w:t>
            </w:r>
          </w:p>
        </w:tc>
        <w:tc>
          <w:tcPr>
            <w:tcW w:w="1088" w:type="dxa"/>
            <w:tcBorders/>
            <w:shd w:fill="CCEEFF" w:val="clear"/>
          </w:tcPr>
          <w:p>
            <w:pPr>
              <w:pStyle w:val="TableContents"/>
              <w:bidi w:val="0"/>
              <w:spacing w:before="0" w:after="283"/>
              <w:jc w:val="right"/>
              <w:rPr/>
            </w:pPr>
            <w:r>
              <w:rPr/>
              <w:t>27,798</w:t>
            </w:r>
          </w:p>
        </w:tc>
        <w:tc>
          <w:tcPr>
            <w:tcW w:w="470" w:type="dxa"/>
            <w:tcBorders/>
            <w:shd w:fill="CCEEFF" w:val="clear"/>
          </w:tcPr>
          <w:p>
            <w:pPr>
              <w:pStyle w:val="TableContents"/>
              <w:bidi w:val="0"/>
              <w:spacing w:before="0" w:after="283"/>
              <w:jc w:val="left"/>
              <w:rPr/>
            </w:pPr>
            <w:r>
              <w:rPr/>
              <w:t>(22) </w:t>
            </w:r>
          </w:p>
        </w:tc>
        <w:tc>
          <w:tcPr>
            <w:tcW w:w="60" w:type="dxa"/>
            <w:tcBorders/>
            <w:shd w:fill="CCEEFF" w:val="clear"/>
            <w:vAlign w:val="bottom"/>
          </w:tcPr>
          <w:p>
            <w:pPr>
              <w:pStyle w:val="TableContents"/>
              <w:bidi w:val="0"/>
              <w:spacing w:before="0" w:after="283"/>
              <w:jc w:val="left"/>
              <w:rPr/>
            </w:pPr>
            <w:r>
              <w:rPr/>
              <w:t> </w:t>
            </w:r>
          </w:p>
        </w:tc>
        <w:tc>
          <w:tcPr>
            <w:tcW w:w="503" w:type="dxa"/>
            <w:tcBorders/>
            <w:shd w:fill="CCEEFF" w:val="clear"/>
          </w:tcPr>
          <w:p>
            <w:pPr>
              <w:pStyle w:val="TableContents"/>
              <w:bidi w:val="0"/>
              <w:spacing w:before="0" w:after="283"/>
              <w:jc w:val="center"/>
              <w:rPr/>
            </w:pPr>
            <w:r>
              <w:rPr/>
              <w:t>No</w:t>
            </w:r>
          </w:p>
        </w:tc>
        <w:tc>
          <w:tcPr>
            <w:tcW w:w="120" w:type="dxa"/>
            <w:tcBorders/>
            <w:shd w:fill="CCEEFF" w:val="clear"/>
            <w:vAlign w:val="bottom"/>
          </w:tcPr>
          <w:p>
            <w:pPr>
              <w:pStyle w:val="TableContents"/>
              <w:bidi w:val="0"/>
              <w:spacing w:before="0" w:after="283"/>
              <w:jc w:val="left"/>
              <w:rPr/>
            </w:pPr>
            <w:r>
              <w:rPr/>
              <w:t>  </w:t>
            </w:r>
          </w:p>
        </w:tc>
        <w:tc>
          <w:tcPr>
            <w:tcW w:w="112" w:type="dxa"/>
            <w:tcBorders/>
            <w:shd w:fill="CCEEFF" w:val="clear"/>
          </w:tcPr>
          <w:p>
            <w:pPr>
              <w:pStyle w:val="TableContents"/>
              <w:bidi w:val="0"/>
              <w:spacing w:before="0" w:after="283"/>
              <w:jc w:val="left"/>
              <w:rPr/>
            </w:pPr>
            <w:r>
              <w:rPr/>
              <w:t> </w:t>
            </w:r>
          </w:p>
        </w:tc>
        <w:tc>
          <w:tcPr>
            <w:tcW w:w="1002" w:type="dxa"/>
            <w:tcBorders/>
            <w:shd w:fill="CCEEFF" w:val="clear"/>
          </w:tcPr>
          <w:p>
            <w:pPr>
              <w:pStyle w:val="TableContents"/>
              <w:bidi w:val="0"/>
              <w:spacing w:before="0" w:after="283"/>
              <w:jc w:val="right"/>
              <w:rPr/>
            </w:pPr>
            <w:r>
              <w:rPr/>
              <w:t>Mar-30</w:t>
            </w:r>
          </w:p>
        </w:tc>
        <w:tc>
          <w:tcPr>
            <w:tcW w:w="67" w:type="dxa"/>
            <w:tcBorders/>
            <w:shd w:fill="CCEEFF" w:val="clear"/>
          </w:tcPr>
          <w:p>
            <w:pPr>
              <w:pStyle w:val="TableContents"/>
              <w:bidi w:val="0"/>
              <w:spacing w:before="0" w:after="283"/>
              <w:jc w:val="left"/>
              <w:rPr/>
            </w:pPr>
            <w:r>
              <w:rPr/>
              <w:t> </w:t>
            </w:r>
          </w:p>
        </w:tc>
      </w:tr>
      <w:tr>
        <w:trPr/>
        <w:tc>
          <w:tcPr>
            <w:tcW w:w="2164" w:type="dxa"/>
            <w:tcBorders/>
          </w:tcPr>
          <w:p>
            <w:pPr>
              <w:pStyle w:val="TableContents"/>
              <w:bidi w:val="0"/>
              <w:spacing w:before="0" w:after="0"/>
              <w:jc w:val="left"/>
              <w:rPr>
                <w:rFonts w:ascii="Times New Roman" w:hAnsi="Times New Roman"/>
                <w:sz w:val="20"/>
              </w:rPr>
            </w:pPr>
            <w:r>
              <w:rPr>
                <w:rFonts w:ascii="Times New Roman" w:hAnsi="Times New Roman"/>
                <w:sz w:val="20"/>
              </w:rPr>
              <w:t>TBN XVII</w:t>
            </w:r>
          </w:p>
        </w:tc>
        <w:tc>
          <w:tcPr>
            <w:tcW w:w="120" w:type="dxa"/>
            <w:tcBorders/>
            <w:vAlign w:val="bottom"/>
          </w:tcPr>
          <w:p>
            <w:pPr>
              <w:pStyle w:val="TableContents"/>
              <w:bidi w:val="0"/>
              <w:spacing w:before="0" w:after="283"/>
              <w:jc w:val="left"/>
              <w:rPr/>
            </w:pPr>
            <w:r>
              <w:rPr/>
              <w:t>  </w:t>
            </w:r>
          </w:p>
        </w:tc>
        <w:tc>
          <w:tcPr>
            <w:tcW w:w="2046" w:type="dxa"/>
            <w:tcBorders/>
          </w:tcPr>
          <w:p>
            <w:pPr>
              <w:pStyle w:val="TableContents"/>
              <w:bidi w:val="0"/>
              <w:spacing w:before="0" w:after="283"/>
              <w:jc w:val="center"/>
              <w:rPr/>
            </w:pPr>
            <w:r>
              <w:rPr/>
              <w:t>Aframax / LR2</w:t>
            </w:r>
          </w:p>
        </w:tc>
        <w:tc>
          <w:tcPr>
            <w:tcW w:w="120"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H1 2025</w:t>
            </w:r>
          </w:p>
        </w:tc>
        <w:tc>
          <w:tcPr>
            <w:tcW w:w="120" w:type="dxa"/>
            <w:tcBorders/>
            <w:vAlign w:val="bottom"/>
          </w:tcPr>
          <w:p>
            <w:pPr>
              <w:pStyle w:val="TableContents"/>
              <w:bidi w:val="0"/>
              <w:spacing w:before="0" w:after="283"/>
              <w:jc w:val="left"/>
              <w:rPr/>
            </w:pPr>
            <w:r>
              <w:rPr/>
              <w:t>  </w:t>
            </w:r>
          </w:p>
        </w:tc>
        <w:tc>
          <w:tcPr>
            <w:tcW w:w="65" w:type="dxa"/>
            <w:tcBorders/>
          </w:tcPr>
          <w:p>
            <w:pPr>
              <w:pStyle w:val="TableContents"/>
              <w:bidi w:val="0"/>
              <w:spacing w:before="0" w:after="283"/>
              <w:jc w:val="left"/>
              <w:rPr/>
            </w:pPr>
            <w:r>
              <w:rPr/>
              <w:t> </w:t>
            </w:r>
          </w:p>
        </w:tc>
        <w:tc>
          <w:tcPr>
            <w:tcW w:w="870" w:type="dxa"/>
            <w:tcBorders/>
          </w:tcPr>
          <w:p>
            <w:pPr>
              <w:pStyle w:val="TableContents"/>
              <w:bidi w:val="0"/>
              <w:spacing w:before="0" w:after="283"/>
              <w:jc w:val="right"/>
              <w:rPr/>
            </w:pPr>
            <w:r>
              <w:rPr/>
              <w:t>115,000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3" w:type="dxa"/>
            <w:tcBorders/>
          </w:tcPr>
          <w:p>
            <w:pPr>
              <w:pStyle w:val="TableContents"/>
              <w:bidi w:val="0"/>
              <w:spacing w:before="0" w:after="283"/>
              <w:jc w:val="left"/>
              <w:rPr/>
            </w:pPr>
            <w:r>
              <w:rPr/>
              <w:t>$</w:t>
            </w:r>
          </w:p>
        </w:tc>
        <w:tc>
          <w:tcPr>
            <w:tcW w:w="1088" w:type="dxa"/>
            <w:tcBorders/>
          </w:tcPr>
          <w:p>
            <w:pPr>
              <w:pStyle w:val="TableContents"/>
              <w:bidi w:val="0"/>
              <w:spacing w:before="0" w:after="283"/>
              <w:jc w:val="right"/>
              <w:rPr/>
            </w:pPr>
            <w:r>
              <w:rPr/>
              <w:t>27,798</w:t>
            </w:r>
          </w:p>
        </w:tc>
        <w:tc>
          <w:tcPr>
            <w:tcW w:w="470" w:type="dxa"/>
            <w:tcBorders/>
          </w:tcPr>
          <w:p>
            <w:pPr>
              <w:pStyle w:val="TableContents"/>
              <w:bidi w:val="0"/>
              <w:spacing w:before="0" w:after="283"/>
              <w:jc w:val="left"/>
              <w:rPr/>
            </w:pPr>
            <w:r>
              <w:rPr/>
              <w:t>(22) </w:t>
            </w:r>
          </w:p>
        </w:tc>
        <w:tc>
          <w:tcPr>
            <w:tcW w:w="60" w:type="dxa"/>
            <w:tcBorders/>
            <w:vAlign w:val="bottom"/>
          </w:tcPr>
          <w:p>
            <w:pPr>
              <w:pStyle w:val="TableContents"/>
              <w:bidi w:val="0"/>
              <w:spacing w:before="0" w:after="283"/>
              <w:jc w:val="left"/>
              <w:rPr/>
            </w:pPr>
            <w:r>
              <w:rPr/>
              <w:t> </w:t>
            </w:r>
          </w:p>
        </w:tc>
        <w:tc>
          <w:tcPr>
            <w:tcW w:w="503" w:type="dxa"/>
            <w:tcBorders/>
          </w:tcPr>
          <w:p>
            <w:pPr>
              <w:pStyle w:val="TableContents"/>
              <w:bidi w:val="0"/>
              <w:spacing w:before="0" w:after="283"/>
              <w:jc w:val="center"/>
              <w:rPr/>
            </w:pPr>
            <w:r>
              <w:rPr/>
              <w:t>No</w:t>
            </w:r>
          </w:p>
        </w:tc>
        <w:tc>
          <w:tcPr>
            <w:tcW w:w="120" w:type="dxa"/>
            <w:tcBorders/>
            <w:vAlign w:val="bottom"/>
          </w:tcPr>
          <w:p>
            <w:pPr>
              <w:pStyle w:val="TableContents"/>
              <w:bidi w:val="0"/>
              <w:spacing w:before="0" w:after="283"/>
              <w:jc w:val="left"/>
              <w:rPr/>
            </w:pPr>
            <w:r>
              <w:rPr/>
              <w:t>  </w:t>
            </w:r>
          </w:p>
        </w:tc>
        <w:tc>
          <w:tcPr>
            <w:tcW w:w="112" w:type="dxa"/>
            <w:tcBorders/>
          </w:tcPr>
          <w:p>
            <w:pPr>
              <w:pStyle w:val="TableContents"/>
              <w:bidi w:val="0"/>
              <w:spacing w:before="0" w:after="283"/>
              <w:jc w:val="left"/>
              <w:rPr/>
            </w:pPr>
            <w:r>
              <w:rPr/>
              <w:t> </w:t>
            </w:r>
          </w:p>
        </w:tc>
        <w:tc>
          <w:tcPr>
            <w:tcW w:w="1002" w:type="dxa"/>
            <w:tcBorders/>
          </w:tcPr>
          <w:p>
            <w:pPr>
              <w:pStyle w:val="TableContents"/>
              <w:bidi w:val="0"/>
              <w:spacing w:before="0" w:after="283"/>
              <w:jc w:val="right"/>
              <w:rPr/>
            </w:pPr>
            <w:r>
              <w:rPr/>
              <w:t>May-30</w:t>
            </w:r>
          </w:p>
        </w:tc>
        <w:tc>
          <w:tcPr>
            <w:tcW w:w="67" w:type="dxa"/>
            <w:tcBorders/>
          </w:tcPr>
          <w:p>
            <w:pPr>
              <w:pStyle w:val="TableContents"/>
              <w:bidi w:val="0"/>
              <w:spacing w:before="0" w:after="283"/>
              <w:jc w:val="left"/>
              <w:rPr/>
            </w:pPr>
            <w:r>
              <w:rPr/>
              <w:t> </w:t>
            </w:r>
          </w:p>
        </w:tc>
      </w:tr>
      <w:tr>
        <w:trPr/>
        <w:tc>
          <w:tcPr>
            <w:tcW w:w="2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TBN XX(6)</w:t>
            </w:r>
          </w:p>
        </w:tc>
        <w:tc>
          <w:tcPr>
            <w:tcW w:w="120" w:type="dxa"/>
            <w:tcBorders/>
            <w:shd w:fill="CCEEFF" w:val="clear"/>
            <w:vAlign w:val="bottom"/>
          </w:tcPr>
          <w:p>
            <w:pPr>
              <w:pStyle w:val="TableContents"/>
              <w:bidi w:val="0"/>
              <w:spacing w:before="0" w:after="283"/>
              <w:jc w:val="left"/>
              <w:rPr/>
            </w:pPr>
            <w:r>
              <w:rPr/>
              <w:t>  </w:t>
            </w:r>
          </w:p>
        </w:tc>
        <w:tc>
          <w:tcPr>
            <w:tcW w:w="2046" w:type="dxa"/>
            <w:tcBorders/>
            <w:shd w:fill="CCEEFF" w:val="clear"/>
          </w:tcPr>
          <w:p>
            <w:pPr>
              <w:pStyle w:val="TableContents"/>
              <w:bidi w:val="0"/>
              <w:spacing w:before="0" w:after="283"/>
              <w:jc w:val="center"/>
              <w:rPr/>
            </w:pPr>
            <w:r>
              <w:rPr/>
              <w:t>MR2 Product Tanker</w:t>
            </w:r>
          </w:p>
        </w:tc>
        <w:tc>
          <w:tcPr>
            <w:tcW w:w="120" w:type="dxa"/>
            <w:tcBorders/>
            <w:shd w:fill="CCEEFF" w:val="clear"/>
            <w:vAlign w:val="bottom"/>
          </w:tcPr>
          <w:p>
            <w:pPr>
              <w:pStyle w:val="TableContents"/>
              <w:bidi w:val="0"/>
              <w:spacing w:before="0" w:after="283"/>
              <w:jc w:val="left"/>
              <w:rPr/>
            </w:pPr>
            <w:r>
              <w:rPr/>
              <w:t>  </w:t>
            </w:r>
          </w:p>
        </w:tc>
        <w:tc>
          <w:tcPr>
            <w:tcW w:w="875" w:type="dxa"/>
            <w:tcBorders/>
            <w:shd w:fill="CCEEFF" w:val="clear"/>
          </w:tcPr>
          <w:p>
            <w:pPr>
              <w:pStyle w:val="TableContents"/>
              <w:bidi w:val="0"/>
              <w:spacing w:before="0" w:after="283"/>
              <w:jc w:val="center"/>
              <w:rPr/>
            </w:pPr>
            <w:r>
              <w:rPr/>
              <w:t>H2 2025</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tcPr>
          <w:p>
            <w:pPr>
              <w:pStyle w:val="TableContents"/>
              <w:bidi w:val="0"/>
              <w:spacing w:before="0" w:after="283"/>
              <w:jc w:val="left"/>
              <w:rPr/>
            </w:pPr>
            <w:r>
              <w:rPr/>
              <w:t> </w:t>
            </w:r>
          </w:p>
        </w:tc>
        <w:tc>
          <w:tcPr>
            <w:tcW w:w="870" w:type="dxa"/>
            <w:tcBorders/>
            <w:shd w:fill="CCEEFF" w:val="clear"/>
          </w:tcPr>
          <w:p>
            <w:pPr>
              <w:pStyle w:val="TableContents"/>
              <w:bidi w:val="0"/>
              <w:spacing w:before="0" w:after="283"/>
              <w:jc w:val="right"/>
              <w:rPr/>
            </w:pPr>
            <w:r>
              <w:rPr/>
              <w:t>52,000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3" w:type="dxa"/>
            <w:tcBorders/>
            <w:shd w:fill="CCEEFF" w:val="clear"/>
          </w:tcPr>
          <w:p>
            <w:pPr>
              <w:pStyle w:val="TableContents"/>
              <w:bidi w:val="0"/>
              <w:spacing w:before="0" w:after="283"/>
              <w:jc w:val="left"/>
              <w:rPr/>
            </w:pPr>
            <w:r>
              <w:rPr/>
              <w:t> </w:t>
            </w:r>
          </w:p>
        </w:tc>
        <w:tc>
          <w:tcPr>
            <w:tcW w:w="1088" w:type="dxa"/>
            <w:tcBorders/>
            <w:shd w:fill="CCEEFF" w:val="clear"/>
          </w:tcPr>
          <w:p>
            <w:pPr>
              <w:pStyle w:val="TableContents"/>
              <w:bidi w:val="0"/>
              <w:spacing w:before="0" w:after="283"/>
              <w:jc w:val="right"/>
              <w:rPr/>
            </w:pPr>
            <w:r>
              <w:rPr/>
              <w:t>  </w:t>
            </w:r>
          </w:p>
        </w:tc>
        <w:tc>
          <w:tcPr>
            <w:tcW w:w="47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3" w:type="dxa"/>
            <w:tcBorders/>
            <w:shd w:fill="CCEEFF" w:val="clear"/>
          </w:tcPr>
          <w:p>
            <w:pPr>
              <w:pStyle w:val="TableContents"/>
              <w:bidi w:val="0"/>
              <w:spacing w:before="0" w:after="283"/>
              <w:jc w:val="center"/>
              <w:rPr/>
            </w:pPr>
            <w:r>
              <w:rPr/>
              <w:t>  </w:t>
            </w:r>
          </w:p>
        </w:tc>
        <w:tc>
          <w:tcPr>
            <w:tcW w:w="120" w:type="dxa"/>
            <w:tcBorders/>
            <w:shd w:fill="CCEEFF" w:val="clear"/>
            <w:vAlign w:val="bottom"/>
          </w:tcPr>
          <w:p>
            <w:pPr>
              <w:pStyle w:val="TableContents"/>
              <w:bidi w:val="0"/>
              <w:spacing w:before="0" w:after="283"/>
              <w:jc w:val="left"/>
              <w:rPr/>
            </w:pPr>
            <w:r>
              <w:rPr/>
              <w:t>  </w:t>
            </w:r>
          </w:p>
        </w:tc>
        <w:tc>
          <w:tcPr>
            <w:tcW w:w="112" w:type="dxa"/>
            <w:tcBorders/>
            <w:shd w:fill="CCEEFF" w:val="clear"/>
          </w:tcPr>
          <w:p>
            <w:pPr>
              <w:pStyle w:val="TableContents"/>
              <w:bidi w:val="0"/>
              <w:spacing w:before="0" w:after="283"/>
              <w:jc w:val="left"/>
              <w:rPr/>
            </w:pPr>
            <w:r>
              <w:rPr/>
              <w:t> </w:t>
            </w:r>
          </w:p>
        </w:tc>
        <w:tc>
          <w:tcPr>
            <w:tcW w:w="1002" w:type="dxa"/>
            <w:tcBorders/>
            <w:shd w:fill="CCEEFF" w:val="clear"/>
          </w:tcPr>
          <w:p>
            <w:pPr>
              <w:pStyle w:val="TableContents"/>
              <w:bidi w:val="0"/>
              <w:spacing w:before="0" w:after="283"/>
              <w:jc w:val="right"/>
              <w:rPr/>
            </w:pPr>
            <w:r>
              <w:rPr/>
              <w:t>  </w:t>
            </w:r>
          </w:p>
        </w:tc>
        <w:tc>
          <w:tcPr>
            <w:tcW w:w="67" w:type="dxa"/>
            <w:tcBorders/>
            <w:shd w:fill="CCEEFF" w:val="clear"/>
          </w:tcPr>
          <w:p>
            <w:pPr>
              <w:pStyle w:val="TableContents"/>
              <w:bidi w:val="0"/>
              <w:spacing w:before="0" w:after="283"/>
              <w:jc w:val="left"/>
              <w:rPr/>
            </w:pPr>
            <w:r>
              <w:rPr/>
              <w:t> </w:t>
            </w:r>
          </w:p>
        </w:tc>
      </w:tr>
      <w:tr>
        <w:trPr/>
        <w:tc>
          <w:tcPr>
            <w:tcW w:w="2164" w:type="dxa"/>
            <w:tcBorders/>
          </w:tcPr>
          <w:p>
            <w:pPr>
              <w:pStyle w:val="TableContents"/>
              <w:bidi w:val="0"/>
              <w:spacing w:before="0" w:after="0"/>
              <w:jc w:val="left"/>
              <w:rPr>
                <w:rFonts w:ascii="Times New Roman" w:hAnsi="Times New Roman"/>
                <w:sz w:val="20"/>
              </w:rPr>
            </w:pPr>
            <w:r>
              <w:rPr>
                <w:rFonts w:ascii="Times New Roman" w:hAnsi="Times New Roman"/>
                <w:sz w:val="20"/>
              </w:rPr>
              <w:t>TBN XXI(6)</w:t>
            </w:r>
          </w:p>
        </w:tc>
        <w:tc>
          <w:tcPr>
            <w:tcW w:w="120" w:type="dxa"/>
            <w:tcBorders/>
            <w:vAlign w:val="bottom"/>
          </w:tcPr>
          <w:p>
            <w:pPr>
              <w:pStyle w:val="TableContents"/>
              <w:bidi w:val="0"/>
              <w:spacing w:before="0" w:after="283"/>
              <w:jc w:val="left"/>
              <w:rPr/>
            </w:pPr>
            <w:r>
              <w:rPr/>
              <w:t>  </w:t>
            </w:r>
          </w:p>
        </w:tc>
        <w:tc>
          <w:tcPr>
            <w:tcW w:w="2046" w:type="dxa"/>
            <w:tcBorders/>
          </w:tcPr>
          <w:p>
            <w:pPr>
              <w:pStyle w:val="TableContents"/>
              <w:bidi w:val="0"/>
              <w:spacing w:before="0" w:after="283"/>
              <w:jc w:val="center"/>
              <w:rPr/>
            </w:pPr>
            <w:r>
              <w:rPr/>
              <w:t>MR2 Product Tanker</w:t>
            </w:r>
          </w:p>
        </w:tc>
        <w:tc>
          <w:tcPr>
            <w:tcW w:w="120"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H1 2026</w:t>
            </w:r>
          </w:p>
        </w:tc>
        <w:tc>
          <w:tcPr>
            <w:tcW w:w="120" w:type="dxa"/>
            <w:tcBorders/>
            <w:vAlign w:val="bottom"/>
          </w:tcPr>
          <w:p>
            <w:pPr>
              <w:pStyle w:val="TableContents"/>
              <w:bidi w:val="0"/>
              <w:spacing w:before="0" w:after="283"/>
              <w:jc w:val="left"/>
              <w:rPr/>
            </w:pPr>
            <w:r>
              <w:rPr/>
              <w:t>  </w:t>
            </w:r>
          </w:p>
        </w:tc>
        <w:tc>
          <w:tcPr>
            <w:tcW w:w="65" w:type="dxa"/>
            <w:tcBorders/>
          </w:tcPr>
          <w:p>
            <w:pPr>
              <w:pStyle w:val="TableContents"/>
              <w:bidi w:val="0"/>
              <w:spacing w:before="0" w:after="283"/>
              <w:jc w:val="left"/>
              <w:rPr/>
            </w:pPr>
            <w:r>
              <w:rPr/>
              <w:t> </w:t>
            </w:r>
          </w:p>
        </w:tc>
        <w:tc>
          <w:tcPr>
            <w:tcW w:w="870" w:type="dxa"/>
            <w:tcBorders/>
          </w:tcPr>
          <w:p>
            <w:pPr>
              <w:pStyle w:val="TableContents"/>
              <w:bidi w:val="0"/>
              <w:spacing w:before="0" w:after="283"/>
              <w:jc w:val="right"/>
              <w:rPr/>
            </w:pPr>
            <w:r>
              <w:rPr/>
              <w:t>52,000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3" w:type="dxa"/>
            <w:tcBorders/>
          </w:tcPr>
          <w:p>
            <w:pPr>
              <w:pStyle w:val="TableContents"/>
              <w:bidi w:val="0"/>
              <w:spacing w:before="0" w:after="283"/>
              <w:jc w:val="left"/>
              <w:rPr/>
            </w:pPr>
            <w:r>
              <w:rPr/>
              <w:t> </w:t>
            </w:r>
          </w:p>
        </w:tc>
        <w:tc>
          <w:tcPr>
            <w:tcW w:w="1088" w:type="dxa"/>
            <w:tcBorders/>
          </w:tcPr>
          <w:p>
            <w:pPr>
              <w:pStyle w:val="TableContents"/>
              <w:bidi w:val="0"/>
              <w:spacing w:before="0" w:after="283"/>
              <w:jc w:val="right"/>
              <w:rPr/>
            </w:pPr>
            <w:r>
              <w:rPr/>
              <w:t>  </w:t>
            </w:r>
          </w:p>
        </w:tc>
        <w:tc>
          <w:tcPr>
            <w:tcW w:w="47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3" w:type="dxa"/>
            <w:tcBorders/>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112" w:type="dxa"/>
            <w:tcBorders/>
          </w:tcPr>
          <w:p>
            <w:pPr>
              <w:pStyle w:val="TableContents"/>
              <w:bidi w:val="0"/>
              <w:spacing w:before="0" w:after="283"/>
              <w:jc w:val="left"/>
              <w:rPr/>
            </w:pPr>
            <w:r>
              <w:rPr/>
              <w:t> </w:t>
            </w:r>
          </w:p>
        </w:tc>
        <w:tc>
          <w:tcPr>
            <w:tcW w:w="1002" w:type="dxa"/>
            <w:tcBorders/>
          </w:tcPr>
          <w:p>
            <w:pPr>
              <w:pStyle w:val="TableContents"/>
              <w:bidi w:val="0"/>
              <w:spacing w:before="0" w:after="283"/>
              <w:jc w:val="right"/>
              <w:rPr/>
            </w:pPr>
            <w:r>
              <w:rPr/>
              <w:t>  </w:t>
            </w:r>
          </w:p>
        </w:tc>
        <w:tc>
          <w:tcPr>
            <w:tcW w:w="67" w:type="dxa"/>
            <w:tcBorders/>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Daily charter-out rate per day, net of commissions.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Index rates exclude commissions.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dates assuming the midpoint or companys best estimate of the redelivery period by charterers.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Vessel agreed to be sold.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vessel is subject to a sale and leaseback transaction with a purchase obligation at the end of the lease term.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vessel is subject to a bareboat contract with a purchase option at the end of the contract.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optional years (Navios Partners option) after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premium for when the vessel is trading on ice or follow ice breaker is $1,481 per day.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 based on Scorpio MR pool earnings.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Charterers option to extend the charter for one year at $27,913 net per day.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Charterers option to extend the charter for one year at $16,540 net per day plus one year at $17,528 net per day.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 based on Penfield pool earnings.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Charterers option to extend the charter for one year at $40,950 net per day.</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 based on LR8 pool earnings.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Contract provides for TD3C-TCE index plus $1,463 premium.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Profit sharing arrangement of 35% above $54,388, 40% above $59,388 and 50% above $69,388.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Charterers option to extend the bareboat charter for five years at $29,751 net per day.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Bareboat charter based on adjusted TD3C-WS with floor $22,572 and collar at $29,700.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vessel is subject to a charter-in agreement with a purchase option at the end of the agreement, classified as a finance lease.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Charterers option to extend charter for one year at $15,200.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option in the form of the right of first refusal and profit share on sale of vessel.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Charterer has the option to extend for five further one-year options at rates increasing by $1,234 net per day each year.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Charterers option to extend charter for two years at $24,875 net per day.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vessel is subject to a sale and leaseback transaction with a purchase option at the end of the lease term.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vessel is subject to a bareboat contract with a purchase obligation at the end of the contract.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May 10, 2023, Navios Partners agreed to sell the Lumen N, a 2008-built LR1 Product Tanker vessel of 63,599 dwt, to an unrelated third party, for a sales price of $22.3 million. The sale is expected to be completed during the second quarter of 2023.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27, 2023, Navios Partners took delivery of the Navios Sakura, a 2023-built Capesize vessel of 182,169 dwt.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12, 2023, Navios Partners agreed to sell the Navios Anthos, a 2004-built Panamax vessel of 75,798 dwt, to an unrelated third party, for a sales price of $11.0 million. The sale was completed on May 3, 2023.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March 29, 2023, Navios Partners took delivery of the Navios Altair, a 2023-built Capesize vessel of 182,115 dwt.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maintain our principal executive offices at 7, Avenue de Grande Bretagne, Office 11B2 Monte Carlo MC 98000 Monaco. Our telephone number at that address is (011) + (377) 9798-2140. The company contact person, for inquiries pertaining to this prospectus, is Mr. Todd E. Mason, reachable at the mailing address of Thompson Hine LLP, 335 Madison Ave., New York, NY 10017, at the email address </w:t>
      </w:r>
      <w:r>
        <w:rPr>
          <w:rFonts w:ascii="Times New Roman" w:hAnsi="Times New Roman"/>
          <w:sz w:val="20"/>
          <w:u w:val="single"/>
          <w:bdr w:val="single" w:sz="8" w:space="1" w:color="000000"/>
        </w:rPr>
        <w:t>todd.mason@thompsonhine.com</w:t>
      </w:r>
      <w:r>
        <w:rPr>
          <w:rFonts w:ascii="Times New Roman" w:hAnsi="Times New Roman"/>
          <w:sz w:val="20"/>
          <w:bdr w:val="single" w:sz="8" w:space="1" w:color="000000"/>
        </w:rPr>
        <w:t xml:space="preserve">, or at the phone number +1 (212) 908-3946. Our website address is www.navios-mlp.com. The information on our website is not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tx398843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investing in any securities offered pursuant to this prospectus, you should carefully consider the risk factors and uncertainties set forth under the heading Item 3.D. Risk Factors in our Annual Report on Form 20-F for the year ended December 31, 2022, which is incorporated in this prospectus by reference, as updated by our subsequent filings under the Securities Exchange Act of 1934, as amended (the Exchange Act) and, if applicable, in any accompanying prospectus supplement subsequently filed relating to a specific offering or sale. These factors should be considered in conjunction with any other information included or incorporated by reference herein or which may be provided supplementally with this prospectus, including in conjunction with forward-looking statements made herein. See Where You Can Find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tx398843_4"/>
      <w:bookmarkEnd w:id="6"/>
      <w:r>
        <w:rPr>
          <w:rFonts w:ascii="Times New Roman" w:hAnsi="Times New Roman"/>
          <w:b/>
          <w:sz w:val="20"/>
        </w:rPr>
        <w:t xml:space="preserve">OFFER STATISTICS AND EXPECTED TIMETABLE </w:t>
      </w:r>
    </w:p>
    <w:p>
      <w:pPr>
        <w:pStyle w:val="TextBody"/>
        <w:bidi w:val="0"/>
        <w:spacing w:before="240" w:after="0"/>
        <w:jc w:val="left"/>
        <w:rPr>
          <w:rFonts w:ascii="Times New Roman" w:hAnsi="Times New Roman"/>
          <w:sz w:val="20"/>
        </w:rPr>
      </w:pPr>
      <w:r>
        <w:rPr>
          <w:rFonts w:ascii="Times New Roman" w:hAnsi="Times New Roman"/>
          <w:sz w:val="20"/>
        </w:rPr>
        <w:t xml:space="preserve">We may sell from time to time pursuant to this prospectus (as may be detailed in a prospectus supplement) an indeterminate number of common units and debt securities as shall have a maximum aggregate offering price of $500,000,000. The actual price per share or per security of the securities that we will offer pursuant hereto will depend on a number of factors that may be relevant as of the time of offer. See Plan of Distribution. </w:t>
      </w:r>
    </w:p>
    <w:p>
      <w:pPr>
        <w:pStyle w:val="TextBody"/>
        <w:bidi w:val="0"/>
        <w:spacing w:before="480" w:after="0"/>
        <w:jc w:val="center"/>
        <w:rPr>
          <w:rFonts w:ascii="Times New Roman" w:hAnsi="Times New Roman"/>
          <w:b/>
          <w:sz w:val="20"/>
        </w:rPr>
      </w:pPr>
      <w:bookmarkStart w:id="7" w:name="tx398843_5"/>
      <w:bookmarkEnd w:id="7"/>
      <w:r>
        <w:rPr>
          <w:rFonts w:ascii="Times New Roman" w:hAnsi="Times New Roman"/>
          <w:b/>
          <w:sz w:val="20"/>
        </w:rPr>
        <w:t xml:space="preserve">FORWARD-LOOKING STATEMENTS </w:t>
      </w:r>
    </w:p>
    <w:p>
      <w:pPr>
        <w:pStyle w:val="TextBody"/>
        <w:bidi w:val="0"/>
        <w:spacing w:before="240" w:after="0"/>
        <w:jc w:val="left"/>
        <w:rPr>
          <w:rFonts w:ascii="Times New Roman" w:hAnsi="Times New Roman"/>
          <w:i/>
          <w:sz w:val="20"/>
        </w:rPr>
      </w:pPr>
      <w:r>
        <w:rPr>
          <w:rFonts w:ascii="Times New Roman" w:hAnsi="Times New Roman"/>
          <w:i/>
          <w:sz w:val="20"/>
        </w:rPr>
        <w:t xml:space="preserve">This Prospectus should be read in conjunction with the consolidated financial statements and accompanying notes included in the Annual Report on Form 20-F for the year ended December 31, 2022, filed with the Securities and Exchange Commission on March 24, 2023, which is incorporated in this prospectus by reference. </w:t>
      </w:r>
    </w:p>
    <w:p>
      <w:pPr>
        <w:pStyle w:val="TextBody"/>
        <w:bidi w:val="0"/>
        <w:spacing w:before="240" w:after="0"/>
        <w:jc w:val="left"/>
        <w:rPr>
          <w:rFonts w:ascii="Times New Roman" w:hAnsi="Times New Roman"/>
          <w:sz w:val="20"/>
        </w:rPr>
      </w:pPr>
      <w:r>
        <w:rPr>
          <w:rFonts w:ascii="Times New Roman" w:hAnsi="Times New Roman"/>
          <w:sz w:val="20"/>
        </w:rPr>
        <w:t xml:space="preserve">Statements included in this prospectus which are not historical facts (including our statements concerning plans and objectives of management for future operations or economic performance, or assumptions related thereto) are forward-looking statements. In addition, we and our representatives may from time to time make other oral or written statements which are also forward-looking statements. Such statements include, in particular, statements about our plans, strategies, business prospects, changes and trends in our business, and the markets in which we operate as described in this prospectus. In some cases, you can identify the forward-looking statements by the use of words such as may, could, should, would, expect, plan, anticipate, intend, forecast, believe, estimate, predict, propose, potential, continue or the negative of these terms or other comparable terminology.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appear in a number of places and include statements with respect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make cash distributions on our common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financial condition or results of operations and our future revenues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levels of operating surplus and levels of distributions, as well as our future cash distribution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current and future business and growth strategies and other plans and objectives for future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take delivery of, integrate into our fleet, and employ additional vessels, whether secondhand, as the fleets acquired in the Navios Maritime Containers L.P. and the Navios Maritime Acquisition Corporation mergers and the 36-vessel drybulk fleet acquisition from Navios Holdings, or any newbuildings we may order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charter hire rates and vessel values;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repayment of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access debt and equity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planned capital expenditures and availability of capital resources to fund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supply of, and demand for, liquid and dry cargo commodities;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in interest rates, including Secured Overnight Financing Rate (SOFR);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long-term relationships with major commodity traders, oil majors, operators and liner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leverage the scale, experience, reputation and relationships of our Managers and our affiliates, including Navios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continued ability to enter into long-term, fixed-rate time charters;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maximize the use of our vessels, including the re-deployment or disposition of vessels no longer under long-term time charters;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purchases and deliveries of newbuilding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purchase prices of newbuildings and secondhand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successfully for future chartering and newbuilding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financial condition or results of operations and our future revenues and expenses, including revenues from any profit sharing arrangements, and required levels of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liability and costs due to environmental, safety and other incidents involving our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track record, and past and future performance, in safety, environmental and regulatory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incremental general and administrative expenses as a publicly traded limited partnership and our expenses under the management agreements, as amended (the Management Agreements) and the administrative services agreement (the Administrative Services Agreement) with the Manager and for reimbursements for fees and costs of our General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future maintenance and replacement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our common units in the public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cyclical nature of the international Dry Cargo and tankers shipping industry;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charter rates for Dry Cargo and tankers;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newbuildings currently under construction;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values of our vessels and the vessels for which we have purchase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expand relationships with existing customers and obtain new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any customer or charter or vessel;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aging of our fleet and resultant increases in operations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damage to our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global economic outlook and growth and changes in general economic and business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domestic and international political conditions, including wars, pandemics, terrorism and piracy;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health threats;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costs and expenses, including but not limited to: crew wages, insurance, provisions, port expenses, lube oil, bunkers, repairs, maintenance and general and administrative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adequacy of our insurance arrangements and our ability to obtain insurance and required certifications;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cost of, and our ability to comply with, governmental regulations and maritime self-regulatory organization standards, as well as standard regulations imposed by our charterers applicable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changes to the regulatory requirements applicable to the shipping industry, including, without limitation, stricter requirements adopted by international organizations, such as the International Maritime Organization and the European Union, or by individual countries or charterers and actions taken by regulatory authorities and governing such areas as safety and environmental compliance;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taxation of our partnership and our unitholders;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demand in the Dry Cargo shipping sector in general and the demand for our Panamax, Capesize, Ultra-Handymax and Container vessels in particular;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demand in the tanker shipping sector in general and the demand for our tanker vessels in particular;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key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customers increasing emphasis on environmental and safety concerns;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availability and costs of funding due to conditions in the bank market, capital markets and other factors;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detailed from time to time in our periodic reports filed with the U.S. Securities and Exchange Commission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and other forward-looking statements are made based upon managements current plans, expectations, estimates, assumptions and beliefs concerning future events impacting us and therefore involve a number of risks and uncertainties, including those set forth below, as well as those risks discussed in Item 3.D. Risk Factors in our Annual Report on Form 20-F for the year ended December 31, 2022, which is incorporated in this prospectus by reference, as updated by our subsequent filings under the Exchange Act and, if applicable, in any accompanying prospectus supplement subsequently filed relating to a specific offering or sale. </w:t>
      </w:r>
    </w:p>
    <w:p>
      <w:pPr>
        <w:pStyle w:val="TextBody"/>
        <w:bidi w:val="0"/>
        <w:spacing w:before="240" w:after="0"/>
        <w:jc w:val="left"/>
        <w:rPr>
          <w:rFonts w:ascii="Times New Roman" w:hAnsi="Times New Roman"/>
          <w:sz w:val="20"/>
        </w:rPr>
      </w:pPr>
      <w:r>
        <w:rPr>
          <w:rFonts w:ascii="Times New Roman" w:hAnsi="Times New Roman"/>
          <w:sz w:val="20"/>
        </w:rPr>
        <w:t xml:space="preserve">The risks and assumptions are inherently subject to significant uncertainties and contingencies, many of which are beyond our control and many of which have been and many further be, exacerbated by the COVID-19 pandemic, the Ukrainian/Russian conflict and the impact they have had on the global economy. We caution that forward-looking statements are not guarantees and that actual results could differ materially from those expressed or implied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tx398843_6"/>
      <w:bookmarkEnd w:id="8"/>
      <w:r>
        <w:rPr>
          <w:rFonts w:ascii="Times New Roman" w:hAnsi="Times New Roman"/>
          <w:b/>
          <w:sz w:val="20"/>
        </w:rPr>
        <w:t xml:space="preserve">OFFER AND LISTING DETAILS </w:t>
      </w:r>
    </w:p>
    <w:p>
      <w:pPr>
        <w:pStyle w:val="TextBody"/>
        <w:bidi w:val="0"/>
        <w:spacing w:before="240" w:after="0"/>
        <w:jc w:val="left"/>
        <w:rPr>
          <w:rFonts w:ascii="Times New Roman" w:hAnsi="Times New Roman"/>
          <w:sz w:val="20"/>
        </w:rPr>
      </w:pPr>
      <w:r>
        <w:rPr>
          <w:rFonts w:ascii="Times New Roman" w:hAnsi="Times New Roman"/>
          <w:sz w:val="20"/>
        </w:rPr>
        <w:t xml:space="preserve">We may sell from time to time pursuant to this prospectus (as may be detailed in a prospectus supplement) an indeterminate number of common units and debt securities as shall have a maximum aggregate offering price of $500,000,000. The actual price per unit or per security of the securities that we will offer pursuant hereto will depend on a number of factors that may be relevant as of the time of offer.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Our common units are traded on the New York Stock Exchange (or NYSE) under the symbol NMM. </w:t>
      </w:r>
    </w:p>
    <w:p>
      <w:pPr>
        <w:pStyle w:val="TextBody"/>
        <w:bidi w:val="0"/>
        <w:spacing w:before="480" w:after="0"/>
        <w:jc w:val="center"/>
        <w:rPr>
          <w:rFonts w:ascii="Times New Roman" w:hAnsi="Times New Roman"/>
          <w:b/>
          <w:sz w:val="20"/>
        </w:rPr>
      </w:pPr>
      <w:bookmarkStart w:id="9" w:name="tx398843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we indicate otherwise in the applicable prospectus supplement, we currently intend to use the net proceeds from this offering for working capital and general corporate purposes, including vessel acquisitions and other capital expenditure opportunities. </w:t>
      </w:r>
    </w:p>
    <w:p>
      <w:pPr>
        <w:pStyle w:val="TextBody"/>
        <w:bidi w:val="0"/>
        <w:spacing w:before="240" w:after="0"/>
        <w:jc w:val="left"/>
        <w:rPr>
          <w:rFonts w:ascii="Times New Roman" w:hAnsi="Times New Roman"/>
          <w:sz w:val="20"/>
        </w:rPr>
      </w:pPr>
      <w:r>
        <w:rPr>
          <w:rFonts w:ascii="Times New Roman" w:hAnsi="Times New Roman"/>
          <w:sz w:val="20"/>
        </w:rPr>
        <w:t xml:space="preserve">We have not determined the amounts we plan to spend for any particular purpose or the timing of these expenditures. As a result, our management will have broad discretion to allocate the net proceeds from this offering. Pending application of the net proceeds, we intend to invest the net proceeds of the offering in short-term, investment-grade, interest-bearing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set forth additional information on the use of net proceeds from the sale of securities we offer under this prospectus in a prospectus supplement relating to the specific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tx398843_8"/>
      <w:bookmarkEnd w:id="10"/>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capitalization as of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The historical data in the table is derived from our consolidated financial statements, which are incorporated by reference herein from our Annual Report on Form 20-F reporting operating results for the year ended December 31, 2022.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84"/>
        <w:gridCol w:w="871"/>
        <w:gridCol w:w="259"/>
        <w:gridCol w:w="1862"/>
        <w:gridCol w:w="63"/>
      </w:tblGrid>
      <w:tr>
        <w:trPr/>
        <w:tc>
          <w:tcPr>
            <w:tcW w:w="3884" w:type="dxa"/>
            <w:tcBorders/>
            <w:vAlign w:val="center"/>
          </w:tcPr>
          <w:p>
            <w:pPr>
              <w:pStyle w:val="TableContents"/>
              <w:bidi w:val="0"/>
              <w:spacing w:before="0" w:after="283"/>
              <w:jc w:val="left"/>
              <w:rPr>
                <w:sz w:val="4"/>
                <w:szCs w:val="4"/>
              </w:rPr>
            </w:pPr>
            <w:r>
              <w:rPr>
                <w:sz w:val="4"/>
                <w:szCs w:val="4"/>
              </w:rPr>
            </w:r>
          </w:p>
        </w:tc>
        <w:tc>
          <w:tcPr>
            <w:tcW w:w="871"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884"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2121" w:type="dxa"/>
            <w:gridSpan w:val="2"/>
            <w:tcBorders/>
            <w:vAlign w:val="bottom"/>
          </w:tcPr>
          <w:p>
            <w:pPr>
              <w:pStyle w:val="TableContents"/>
              <w:bidi w:val="0"/>
              <w:spacing w:before="0" w:after="0"/>
              <w:jc w:val="center"/>
              <w:rPr>
                <w:rFonts w:ascii="Times New Roman" w:hAnsi="Times New Roman"/>
                <w:b/>
                <w:sz w:val="16"/>
                <w:u w:val="single"/>
              </w:rPr>
            </w:pPr>
            <w:r>
              <w:rPr>
                <w:rFonts w:ascii="Times New Roman" w:hAnsi="Times New Roman"/>
                <w:b/>
                <w:sz w:val="16"/>
                <w:u w:val="single"/>
              </w:rPr>
              <w:t>As of December 31, 2022</w:t>
            </w:r>
          </w:p>
          <w:p>
            <w:pPr>
              <w:pStyle w:val="TableContents"/>
              <w:bidi w:val="0"/>
              <w:spacing w:before="0" w:after="20"/>
              <w:jc w:val="center"/>
              <w:rPr>
                <w:rFonts w:ascii="Times New Roman" w:hAnsi="Times New Roman"/>
                <w:b/>
                <w:sz w:val="16"/>
              </w:rPr>
            </w:pPr>
            <w:r>
              <w:rPr>
                <w:rFonts w:ascii="Times New Roman" w:hAnsi="Times New Roman"/>
                <w:b/>
                <w:sz w:val="16"/>
              </w:rPr>
              <w:t>(In thousands of U.S. dollars)</w:t>
            </w:r>
          </w:p>
        </w:tc>
        <w:tc>
          <w:tcPr>
            <w:tcW w:w="63" w:type="dxa"/>
            <w:tcBorders/>
            <w:vAlign w:val="bottom"/>
          </w:tcPr>
          <w:p>
            <w:pPr>
              <w:pStyle w:val="TableContents"/>
              <w:bidi w:val="0"/>
              <w:spacing w:before="0" w:after="283"/>
              <w:jc w:val="left"/>
              <w:rPr/>
            </w:pPr>
            <w:r>
              <w:rPr/>
              <w:t> </w:t>
            </w:r>
          </w:p>
        </w:tc>
      </w:tr>
      <w:tr>
        <w:trPr/>
        <w:tc>
          <w:tcPr>
            <w:tcW w:w="3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Borrowings (including current portion and excluding deferred financing fees) (1)(2):</w:t>
            </w:r>
          </w:p>
        </w:tc>
        <w:tc>
          <w:tcPr>
            <w:tcW w:w="871"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1862" w:type="dxa"/>
            <w:tcBorders/>
            <w:shd w:fill="CCEEFF" w:val="clear"/>
            <w:vAlign w:val="bottom"/>
          </w:tcPr>
          <w:p>
            <w:pPr>
              <w:pStyle w:val="TableContents"/>
              <w:bidi w:val="0"/>
              <w:spacing w:before="0" w:after="283"/>
              <w:jc w:val="right"/>
              <w:rPr/>
            </w:pPr>
            <w:r>
              <w:rPr/>
              <w:t>1,958,979</w:t>
            </w:r>
          </w:p>
        </w:tc>
        <w:tc>
          <w:tcPr>
            <w:tcW w:w="63" w:type="dxa"/>
            <w:tcBorders/>
            <w:shd w:fill="CCEEFF" w:val="clear"/>
            <w:vAlign w:val="bottom"/>
          </w:tcPr>
          <w:p>
            <w:pPr>
              <w:pStyle w:val="TableContents"/>
              <w:bidi w:val="0"/>
              <w:spacing w:before="0" w:after="283"/>
              <w:jc w:val="left"/>
              <w:rPr/>
            </w:pPr>
            <w:r>
              <w:rPr/>
              <w:t> </w:t>
            </w:r>
          </w:p>
        </w:tc>
      </w:tr>
      <w:tr>
        <w:trPr/>
        <w:tc>
          <w:tcPr>
            <w:tcW w:w="3884" w:type="dxa"/>
            <w:tcBorders/>
          </w:tcPr>
          <w:p>
            <w:pPr>
              <w:pStyle w:val="TableContents"/>
              <w:bidi w:val="0"/>
              <w:spacing w:before="0" w:after="0"/>
              <w:jc w:val="left"/>
              <w:rPr>
                <w:rFonts w:ascii="Times New Roman" w:hAnsi="Times New Roman"/>
                <w:sz w:val="20"/>
              </w:rPr>
            </w:pPr>
            <w:r>
              <w:rPr>
                <w:rFonts w:ascii="Times New Roman" w:hAnsi="Times New Roman"/>
                <w:sz w:val="20"/>
              </w:rPr>
              <w:t>Partners Capital:</w:t>
            </w:r>
          </w:p>
        </w:tc>
        <w:tc>
          <w:tcPr>
            <w:tcW w:w="871"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86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Unitholders (3)(4) (30,184,388 units issued and outstanding as of December 31, 2022)</w:t>
            </w:r>
          </w:p>
        </w:tc>
        <w:tc>
          <w:tcPr>
            <w:tcW w:w="871"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862" w:type="dxa"/>
            <w:tcBorders/>
            <w:shd w:fill="CCEEFF" w:val="clear"/>
            <w:vAlign w:val="bottom"/>
          </w:tcPr>
          <w:p>
            <w:pPr>
              <w:pStyle w:val="TableContents"/>
              <w:bidi w:val="0"/>
              <w:spacing w:before="0" w:after="283"/>
              <w:jc w:val="right"/>
              <w:rPr/>
            </w:pPr>
            <w:r>
              <w:rPr/>
              <w:t>2,305,494</w:t>
            </w:r>
          </w:p>
        </w:tc>
        <w:tc>
          <w:tcPr>
            <w:tcW w:w="63" w:type="dxa"/>
            <w:tcBorders/>
            <w:shd w:fill="CCEEFF" w:val="clear"/>
            <w:vAlign w:val="bottom"/>
          </w:tcPr>
          <w:p>
            <w:pPr>
              <w:pStyle w:val="TableContents"/>
              <w:bidi w:val="0"/>
              <w:spacing w:before="0" w:after="283"/>
              <w:jc w:val="left"/>
              <w:rPr/>
            </w:pPr>
            <w:r>
              <w:rPr/>
              <w:t> </w:t>
            </w:r>
          </w:p>
        </w:tc>
      </w:tr>
      <w:tr>
        <w:trPr/>
        <w:tc>
          <w:tcPr>
            <w:tcW w:w="3884" w:type="dxa"/>
            <w:tcBorders/>
          </w:tcPr>
          <w:p>
            <w:pPr>
              <w:pStyle w:val="TableContents"/>
              <w:bidi w:val="0"/>
              <w:spacing w:before="0" w:after="0"/>
              <w:jc w:val="left"/>
              <w:rPr>
                <w:rFonts w:ascii="Times New Roman" w:hAnsi="Times New Roman"/>
                <w:sz w:val="20"/>
              </w:rPr>
            </w:pPr>
            <w:r>
              <w:rPr>
                <w:rFonts w:ascii="Times New Roman" w:hAnsi="Times New Roman"/>
                <w:sz w:val="20"/>
              </w:rPr>
              <w:t>General Partner (3)(4) (622,296 units issued and outstanding as of December 31, 2022)</w:t>
            </w:r>
          </w:p>
        </w:tc>
        <w:tc>
          <w:tcPr>
            <w:tcW w:w="871"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862" w:type="dxa"/>
            <w:tcBorders/>
            <w:vAlign w:val="bottom"/>
          </w:tcPr>
          <w:p>
            <w:pPr>
              <w:pStyle w:val="TableContents"/>
              <w:bidi w:val="0"/>
              <w:spacing w:before="0" w:after="283"/>
              <w:jc w:val="right"/>
              <w:rPr/>
            </w:pPr>
            <w:r>
              <w:rPr/>
              <w:t>37,469</w:t>
            </w:r>
          </w:p>
        </w:tc>
        <w:tc>
          <w:tcPr>
            <w:tcW w:w="63" w:type="dxa"/>
            <w:tcBorders/>
            <w:vAlign w:val="bottom"/>
          </w:tcPr>
          <w:p>
            <w:pPr>
              <w:pStyle w:val="TableContents"/>
              <w:bidi w:val="0"/>
              <w:spacing w:before="0" w:after="283"/>
              <w:jc w:val="left"/>
              <w:rPr/>
            </w:pPr>
            <w:r>
              <w:rPr/>
              <w:t> </w:t>
            </w:r>
          </w:p>
        </w:tc>
      </w:tr>
      <w:tr>
        <w:trPr/>
        <w:tc>
          <w:tcPr>
            <w:tcW w:w="3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Partners Capital(4)</w:t>
            </w:r>
          </w:p>
        </w:tc>
        <w:tc>
          <w:tcPr>
            <w:tcW w:w="871"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862" w:type="dxa"/>
            <w:tcBorders/>
            <w:shd w:fill="CCEEFF" w:val="clear"/>
            <w:vAlign w:val="bottom"/>
          </w:tcPr>
          <w:p>
            <w:pPr>
              <w:pStyle w:val="TableContents"/>
              <w:bidi w:val="0"/>
              <w:spacing w:before="0" w:after="283"/>
              <w:jc w:val="right"/>
              <w:rPr/>
            </w:pPr>
            <w:r>
              <w:rPr/>
              <w:t>2,342,963</w:t>
            </w:r>
          </w:p>
        </w:tc>
        <w:tc>
          <w:tcPr>
            <w:tcW w:w="63" w:type="dxa"/>
            <w:tcBorders/>
            <w:shd w:fill="CCEEFF" w:val="clear"/>
            <w:vAlign w:val="bottom"/>
          </w:tcPr>
          <w:p>
            <w:pPr>
              <w:pStyle w:val="TableContents"/>
              <w:bidi w:val="0"/>
              <w:spacing w:before="0" w:after="283"/>
              <w:jc w:val="left"/>
              <w:rPr/>
            </w:pPr>
            <w:r>
              <w:rPr/>
              <w:t> </w:t>
            </w:r>
          </w:p>
        </w:tc>
      </w:tr>
      <w:tr>
        <w:trPr/>
        <w:tc>
          <w:tcPr>
            <w:tcW w:w="3884" w:type="dxa"/>
            <w:tcBorders/>
            <w:vAlign w:val="bottom"/>
          </w:tcPr>
          <w:p>
            <w:pPr>
              <w:pStyle w:val="TableContents"/>
              <w:bidi w:val="0"/>
              <w:spacing w:before="0" w:after="283"/>
              <w:jc w:val="left"/>
              <w:rPr>
                <w:sz w:val="4"/>
                <w:szCs w:val="4"/>
              </w:rPr>
            </w:pPr>
            <w:r>
              <w:rPr>
                <w:sz w:val="4"/>
                <w:szCs w:val="4"/>
              </w:rPr>
            </w:r>
          </w:p>
        </w:tc>
        <w:tc>
          <w:tcPr>
            <w:tcW w:w="871"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8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884"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871"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1862" w:type="dxa"/>
            <w:tcBorders/>
            <w:vAlign w:val="bottom"/>
          </w:tcPr>
          <w:p>
            <w:pPr>
              <w:pStyle w:val="TableContents"/>
              <w:bidi w:val="0"/>
              <w:spacing w:before="0" w:after="283"/>
              <w:jc w:val="right"/>
              <w:rPr/>
            </w:pPr>
            <w:r>
              <w:rPr/>
              <w:t>4,301,942</w:t>
            </w:r>
          </w:p>
        </w:tc>
        <w:tc>
          <w:tcPr>
            <w:tcW w:w="63" w:type="dxa"/>
            <w:tcBorders/>
            <w:vAlign w:val="bottom"/>
          </w:tcPr>
          <w:p>
            <w:pPr>
              <w:pStyle w:val="TableContents"/>
              <w:bidi w:val="0"/>
              <w:spacing w:before="0" w:after="283"/>
              <w:jc w:val="left"/>
              <w:rPr/>
            </w:pPr>
            <w:r>
              <w:rPr/>
              <w:t> </w:t>
            </w:r>
          </w:p>
        </w:tc>
      </w:tr>
      <w:tr>
        <w:trPr/>
        <w:tc>
          <w:tcPr>
            <w:tcW w:w="3884" w:type="dxa"/>
            <w:tcBorders/>
            <w:vAlign w:val="bottom"/>
          </w:tcPr>
          <w:p>
            <w:pPr>
              <w:pStyle w:val="TableContents"/>
              <w:bidi w:val="0"/>
              <w:spacing w:before="0" w:after="283"/>
              <w:jc w:val="left"/>
              <w:rPr>
                <w:sz w:val="4"/>
                <w:szCs w:val="4"/>
              </w:rPr>
            </w:pPr>
            <w:r>
              <w:rPr>
                <w:sz w:val="4"/>
                <w:szCs w:val="4"/>
              </w:rPr>
            </w:r>
          </w:p>
        </w:tc>
        <w:tc>
          <w:tcPr>
            <w:tcW w:w="871"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86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Long-term borrowings (including current portion) excludes deferred financing costs of $13,532 as of December 31, 2022.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Subsequent to December 31, 2022 and as of March 31, 2023, Navios Partners has repaid the amount of $215,572 and the proceeds from long-term debt and financial liabilities amounted to $144,610.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general partnership units is determined by multiplying the total number of units deemed to be outstanding (i.e., the total number of common units outstanding divided by 98.0%) by the General Partners 2.0% general partner interest as of December 31, 2022.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Subsequent to December 31, 2022 and as of March 31, 2023, Navios Partners has declared and paid the amount of $1,540 related to the quarterly cash distribution for the three month period ended December 31, 2022.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tx398843_9"/>
      <w:bookmarkEnd w:id="11"/>
      <w:r>
        <w:rPr>
          <w:rFonts w:ascii="Times New Roman" w:hAnsi="Times New Roman"/>
          <w:b/>
          <w:sz w:val="20"/>
        </w:rPr>
        <w:t xml:space="preserve">INFORMATION REGARDING THE MARKET FOR OUR COMMON UNITS </w:t>
      </w:r>
    </w:p>
    <w:p>
      <w:pPr>
        <w:pStyle w:val="TextBody"/>
        <w:bidi w:val="0"/>
        <w:spacing w:before="240" w:after="0"/>
        <w:jc w:val="left"/>
        <w:rPr>
          <w:rFonts w:ascii="Times New Roman" w:hAnsi="Times New Roman"/>
          <w:b/>
          <w:sz w:val="20"/>
        </w:rPr>
      </w:pPr>
      <w:r>
        <w:rPr>
          <w:rFonts w:ascii="Times New Roman" w:hAnsi="Times New Roman"/>
          <w:b/>
          <w:sz w:val="20"/>
        </w:rPr>
        <w:t xml:space="preserve">Market Information </w:t>
      </w:r>
    </w:p>
    <w:p>
      <w:pPr>
        <w:pStyle w:val="TextBody"/>
        <w:bidi w:val="0"/>
        <w:spacing w:before="120" w:after="0"/>
        <w:jc w:val="left"/>
        <w:rPr>
          <w:rFonts w:ascii="Times New Roman" w:hAnsi="Times New Roman"/>
          <w:sz w:val="20"/>
        </w:rPr>
      </w:pPr>
      <w:r>
        <w:rPr>
          <w:rFonts w:ascii="Times New Roman" w:hAnsi="Times New Roman"/>
          <w:sz w:val="20"/>
        </w:rPr>
        <w:t xml:space="preserve">Our common units are traded on the NYSE under the symbol NMM. Our common units trade on the New York Stock Exchange under the symbol NMM. The last reported sale price for our common units on May 10, 2023 was $22.75. </w:t>
      </w:r>
    </w:p>
    <w:p>
      <w:pPr>
        <w:pStyle w:val="TextBody"/>
        <w:bidi w:val="0"/>
        <w:spacing w:before="360" w:after="0"/>
        <w:jc w:val="left"/>
        <w:rPr>
          <w:rFonts w:ascii="Times New Roman" w:hAnsi="Times New Roman"/>
          <w:b/>
          <w:sz w:val="20"/>
        </w:rPr>
      </w:pPr>
      <w:r>
        <w:rPr>
          <w:rFonts w:ascii="Times New Roman" w:hAnsi="Times New Roman"/>
          <w:b/>
          <w:sz w:val="20"/>
        </w:rPr>
        <w:t xml:space="preserve">Holders of Common Units </w:t>
      </w:r>
    </w:p>
    <w:p>
      <w:pPr>
        <w:pStyle w:val="TextBody"/>
        <w:bidi w:val="0"/>
        <w:spacing w:before="120" w:after="0"/>
        <w:jc w:val="left"/>
        <w:rPr>
          <w:rFonts w:ascii="Times New Roman" w:hAnsi="Times New Roman"/>
          <w:sz w:val="20"/>
        </w:rPr>
      </w:pPr>
      <w:r>
        <w:rPr>
          <w:rFonts w:ascii="Times New Roman" w:hAnsi="Times New Roman"/>
          <w:sz w:val="20"/>
        </w:rPr>
        <w:t xml:space="preserve">As of May 3, 2023, we had approximately 38 holders of record of our common units. The number of record holders was determined from the records of our transfer agent and does not include beneficial owners of common units whose shares are held in the names of various security brokers, dealers and registered clearing agencies.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for the periods indicated, the approximate amounts of cash distributions that we have declared and paid: </w:t>
      </w:r>
    </w:p>
    <w:p>
      <w:pPr>
        <w:pStyle w:val="TextBody"/>
        <w:bidi w:val="0"/>
        <w:spacing w:before="240" w:after="0"/>
        <w:jc w:val="left"/>
        <w:rPr>
          <w:rFonts w:ascii="Times New Roman" w:hAnsi="Times New Roman"/>
          <w:sz w:val="20"/>
        </w:rPr>
      </w:pPr>
      <w:r>
        <w:rPr>
          <w:rFonts w:ascii="Times New Roman" w:hAnsi="Times New Roman"/>
          <w:sz w:val="20"/>
        </w:rPr>
        <w:t xml:space="preserve">The authorized quarterly cash distributions for the prior two years (eight quarters) of distributions, are presented below: </w:t>
      </w:r>
    </w:p>
    <w:p>
      <w:pPr>
        <w:pStyle w:val="TextBody"/>
        <w:bidi w:val="0"/>
        <w:spacing w:before="0" w:after="0"/>
        <w:jc w:val="left"/>
        <w:rPr/>
      </w:pPr>
      <w:r>
        <w:rPr/>
        <w:t> </w:t>
      </w:r>
    </w:p>
    <w:tbl>
      <w:tblPr>
        <w:tblW w:w="10425" w:type="dxa"/>
        <w:jc w:val="center"/>
        <w:tblInd w:w="0" w:type="dxa"/>
        <w:tblLayout w:type="fixed"/>
        <w:tblCellMar>
          <w:top w:w="0" w:type="dxa"/>
          <w:left w:w="0" w:type="dxa"/>
          <w:bottom w:w="0" w:type="dxa"/>
          <w:right w:w="0" w:type="dxa"/>
        </w:tblCellMar>
      </w:tblPr>
      <w:tblGrid>
        <w:gridCol w:w="665"/>
        <w:gridCol w:w="120"/>
        <w:gridCol w:w="72"/>
        <w:gridCol w:w="2333"/>
        <w:gridCol w:w="60"/>
        <w:gridCol w:w="120"/>
        <w:gridCol w:w="73"/>
        <w:gridCol w:w="2212"/>
        <w:gridCol w:w="60"/>
        <w:gridCol w:w="120"/>
        <w:gridCol w:w="60"/>
        <w:gridCol w:w="1925"/>
        <w:gridCol w:w="60"/>
        <w:gridCol w:w="120"/>
        <w:gridCol w:w="156"/>
        <w:gridCol w:w="494"/>
        <w:gridCol w:w="60"/>
        <w:gridCol w:w="120"/>
        <w:gridCol w:w="282"/>
        <w:gridCol w:w="1253"/>
        <w:gridCol w:w="60"/>
      </w:tblGrid>
      <w:tr>
        <w:trPr/>
        <w:tc>
          <w:tcPr>
            <w:tcW w:w="6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24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 Quarterly</w:t>
              <w:br/>
              <w:t>Cash Distribution for</w:t>
              <w:br/>
              <w:t>the three months ended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Date of record of</w:t>
              <w:br/>
              <w:t>Common and General</w:t>
              <w:br/>
              <w:t>Partnership unit</w:t>
              <w:br/>
              <w:t>Unitholders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Payment of</w:t>
              <w:br/>
              <w:t>Distribution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$/Unit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of the</w:t>
              <w:br/>
              <w:t>declared</w:t>
              <w:br/>
              <w:t>distribution (in</w:t>
              <w:br/>
              <w:t>thousands)</w:t>
            </w:r>
          </w:p>
        </w:tc>
        <w:tc>
          <w:tcPr>
            <w:tcW w:w="60" w:type="dxa"/>
            <w:tcBorders/>
            <w:vAlign w:val="bottom"/>
          </w:tcPr>
          <w:p>
            <w:pPr>
              <w:pStyle w:val="TableContents"/>
              <w:bidi w:val="0"/>
              <w:spacing w:before="0" w:after="283"/>
              <w:jc w:val="left"/>
              <w:rPr/>
            </w:pPr>
            <w:r>
              <w:rPr/>
              <w:t> </w:t>
            </w:r>
          </w:p>
        </w:tc>
      </w:tr>
      <w:tr>
        <w:trPr/>
        <w:tc>
          <w:tcPr>
            <w:tcW w:w="6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July 2021</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2333" w:type="dxa"/>
            <w:tcBorders/>
            <w:shd w:fill="CCEEFF" w:val="clear"/>
            <w:vAlign w:val="bottom"/>
          </w:tcPr>
          <w:p>
            <w:pPr>
              <w:pStyle w:val="TableContents"/>
              <w:bidi w:val="0"/>
              <w:spacing w:before="0" w:after="283"/>
              <w:jc w:val="right"/>
              <w:rPr/>
            </w:pPr>
            <w:r>
              <w:rPr/>
              <w:t>June 30, 2021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212" w:type="dxa"/>
            <w:tcBorders/>
            <w:shd w:fill="CCEEFF" w:val="clear"/>
            <w:vAlign w:val="bottom"/>
          </w:tcPr>
          <w:p>
            <w:pPr>
              <w:pStyle w:val="TableContents"/>
              <w:bidi w:val="0"/>
              <w:spacing w:before="0" w:after="283"/>
              <w:jc w:val="right"/>
              <w:rPr/>
            </w:pPr>
            <w:r>
              <w:rPr/>
              <w:t>August 9, 2021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August 12, 2021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4" w:type="dxa"/>
            <w:tcBorders/>
            <w:shd w:fill="CCEEFF" w:val="clear"/>
            <w:vAlign w:val="bottom"/>
          </w:tcPr>
          <w:p>
            <w:pPr>
              <w:pStyle w:val="TableContents"/>
              <w:bidi w:val="0"/>
              <w:spacing w:before="0" w:after="283"/>
              <w:jc w:val="right"/>
              <w:rPr/>
            </w:pPr>
            <w:r>
              <w:rPr/>
              <w:t>0.05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1,368</w:t>
            </w:r>
          </w:p>
        </w:tc>
        <w:tc>
          <w:tcPr>
            <w:tcW w:w="60" w:type="dxa"/>
            <w:tcBorders/>
            <w:shd w:fill="CCEEFF" w:val="clear"/>
            <w:vAlign w:val="bottom"/>
          </w:tcPr>
          <w:p>
            <w:pPr>
              <w:pStyle w:val="TableContents"/>
              <w:bidi w:val="0"/>
              <w:spacing w:before="0" w:after="283"/>
              <w:jc w:val="left"/>
              <w:rPr/>
            </w:pPr>
            <w:r>
              <w:rPr/>
              <w:t> </w:t>
            </w:r>
          </w:p>
        </w:tc>
      </w:tr>
      <w:tr>
        <w:trPr/>
        <w:tc>
          <w:tcPr>
            <w:tcW w:w="665" w:type="dxa"/>
            <w:tcBorders/>
          </w:tcPr>
          <w:p>
            <w:pPr>
              <w:pStyle w:val="TableContents"/>
              <w:bidi w:val="0"/>
              <w:spacing w:before="0" w:after="0"/>
              <w:jc w:val="left"/>
              <w:rPr>
                <w:rFonts w:ascii="Times New Roman" w:hAnsi="Times New Roman"/>
                <w:sz w:val="20"/>
              </w:rPr>
            </w:pPr>
            <w:r>
              <w:rPr>
                <w:rFonts w:ascii="Times New Roman" w:hAnsi="Times New Roman"/>
                <w:sz w:val="20"/>
              </w:rPr>
              <w:t>October 2021</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333" w:type="dxa"/>
            <w:tcBorders/>
            <w:vAlign w:val="bottom"/>
          </w:tcPr>
          <w:p>
            <w:pPr>
              <w:pStyle w:val="TableContents"/>
              <w:bidi w:val="0"/>
              <w:spacing w:before="0" w:after="283"/>
              <w:jc w:val="right"/>
              <w:rPr/>
            </w:pPr>
            <w:r>
              <w:rPr/>
              <w:t>September 30, 2021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212" w:type="dxa"/>
            <w:tcBorders/>
            <w:vAlign w:val="bottom"/>
          </w:tcPr>
          <w:p>
            <w:pPr>
              <w:pStyle w:val="TableContents"/>
              <w:bidi w:val="0"/>
              <w:spacing w:before="0" w:after="283"/>
              <w:jc w:val="right"/>
              <w:rPr/>
            </w:pPr>
            <w:r>
              <w:rPr/>
              <w:t>November 8, 2021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right"/>
              <w:rPr/>
            </w:pPr>
            <w:r>
              <w:rPr/>
              <w:t>November 12, 2021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4" w:type="dxa"/>
            <w:tcBorders/>
            <w:vAlign w:val="bottom"/>
          </w:tcPr>
          <w:p>
            <w:pPr>
              <w:pStyle w:val="TableContents"/>
              <w:bidi w:val="0"/>
              <w:spacing w:before="0" w:after="283"/>
              <w:jc w:val="right"/>
              <w:rPr/>
            </w:pPr>
            <w:r>
              <w:rPr/>
              <w:t>0.05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253" w:type="dxa"/>
            <w:tcBorders/>
            <w:vAlign w:val="bottom"/>
          </w:tcPr>
          <w:p>
            <w:pPr>
              <w:pStyle w:val="TableContents"/>
              <w:bidi w:val="0"/>
              <w:spacing w:before="0" w:after="283"/>
              <w:jc w:val="right"/>
              <w:rPr/>
            </w:pPr>
            <w:r>
              <w:rPr/>
              <w:t>1,541</w:t>
            </w:r>
          </w:p>
        </w:tc>
        <w:tc>
          <w:tcPr>
            <w:tcW w:w="60" w:type="dxa"/>
            <w:tcBorders/>
            <w:vAlign w:val="bottom"/>
          </w:tcPr>
          <w:p>
            <w:pPr>
              <w:pStyle w:val="TableContents"/>
              <w:bidi w:val="0"/>
              <w:spacing w:before="0" w:after="283"/>
              <w:jc w:val="left"/>
              <w:rPr/>
            </w:pPr>
            <w:r>
              <w:rPr/>
              <w:t> </w:t>
            </w:r>
          </w:p>
        </w:tc>
      </w:tr>
      <w:tr>
        <w:trPr/>
        <w:tc>
          <w:tcPr>
            <w:tcW w:w="6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2022</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2333" w:type="dxa"/>
            <w:tcBorders/>
            <w:shd w:fill="CCEEFF" w:val="clear"/>
            <w:vAlign w:val="bottom"/>
          </w:tcPr>
          <w:p>
            <w:pPr>
              <w:pStyle w:val="TableContents"/>
              <w:bidi w:val="0"/>
              <w:spacing w:before="0" w:after="283"/>
              <w:jc w:val="right"/>
              <w:rPr/>
            </w:pPr>
            <w:r>
              <w:rPr/>
              <w:t>December 31,2021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212" w:type="dxa"/>
            <w:tcBorders/>
            <w:shd w:fill="CCEEFF" w:val="clear"/>
            <w:vAlign w:val="bottom"/>
          </w:tcPr>
          <w:p>
            <w:pPr>
              <w:pStyle w:val="TableContents"/>
              <w:bidi w:val="0"/>
              <w:spacing w:before="0" w:after="283"/>
              <w:jc w:val="right"/>
              <w:rPr/>
            </w:pPr>
            <w:r>
              <w:rPr/>
              <w:t>February 9, 2022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February 11, 2022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4" w:type="dxa"/>
            <w:tcBorders/>
            <w:shd w:fill="CCEEFF" w:val="clear"/>
            <w:vAlign w:val="bottom"/>
          </w:tcPr>
          <w:p>
            <w:pPr>
              <w:pStyle w:val="TableContents"/>
              <w:bidi w:val="0"/>
              <w:spacing w:before="0" w:after="283"/>
              <w:jc w:val="right"/>
              <w:rPr/>
            </w:pPr>
            <w:r>
              <w:rPr/>
              <w:t>0.05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1,541</w:t>
            </w:r>
          </w:p>
        </w:tc>
        <w:tc>
          <w:tcPr>
            <w:tcW w:w="60" w:type="dxa"/>
            <w:tcBorders/>
            <w:shd w:fill="CCEEFF" w:val="clear"/>
            <w:vAlign w:val="bottom"/>
          </w:tcPr>
          <w:p>
            <w:pPr>
              <w:pStyle w:val="TableContents"/>
              <w:bidi w:val="0"/>
              <w:spacing w:before="0" w:after="283"/>
              <w:jc w:val="left"/>
              <w:rPr/>
            </w:pPr>
            <w:r>
              <w:rPr/>
              <w:t> </w:t>
            </w:r>
          </w:p>
        </w:tc>
      </w:tr>
      <w:tr>
        <w:trPr/>
        <w:tc>
          <w:tcPr>
            <w:tcW w:w="665" w:type="dxa"/>
            <w:tcBorders/>
          </w:tcPr>
          <w:p>
            <w:pPr>
              <w:pStyle w:val="TableContents"/>
              <w:bidi w:val="0"/>
              <w:spacing w:before="0" w:after="0"/>
              <w:jc w:val="left"/>
              <w:rPr>
                <w:rFonts w:ascii="Times New Roman" w:hAnsi="Times New Roman"/>
                <w:sz w:val="20"/>
              </w:rPr>
            </w:pPr>
            <w:r>
              <w:rPr>
                <w:rFonts w:ascii="Times New Roman" w:hAnsi="Times New Roman"/>
                <w:sz w:val="20"/>
              </w:rPr>
              <w:t>April 2022</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333" w:type="dxa"/>
            <w:tcBorders/>
            <w:vAlign w:val="bottom"/>
          </w:tcPr>
          <w:p>
            <w:pPr>
              <w:pStyle w:val="TableContents"/>
              <w:bidi w:val="0"/>
              <w:spacing w:before="0" w:after="283"/>
              <w:jc w:val="right"/>
              <w:rPr/>
            </w:pPr>
            <w:r>
              <w:rPr/>
              <w:t>March 31, 2022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212" w:type="dxa"/>
            <w:tcBorders/>
            <w:vAlign w:val="bottom"/>
          </w:tcPr>
          <w:p>
            <w:pPr>
              <w:pStyle w:val="TableContents"/>
              <w:bidi w:val="0"/>
              <w:spacing w:before="0" w:after="283"/>
              <w:jc w:val="right"/>
              <w:rPr/>
            </w:pPr>
            <w:r>
              <w:rPr/>
              <w:t>May 9, 2022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right"/>
              <w:rPr/>
            </w:pPr>
            <w:r>
              <w:rPr/>
              <w:t>May 12, 2022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4" w:type="dxa"/>
            <w:tcBorders/>
            <w:vAlign w:val="bottom"/>
          </w:tcPr>
          <w:p>
            <w:pPr>
              <w:pStyle w:val="TableContents"/>
              <w:bidi w:val="0"/>
              <w:spacing w:before="0" w:after="283"/>
              <w:jc w:val="right"/>
              <w:rPr/>
            </w:pPr>
            <w:r>
              <w:rPr/>
              <w:t>0.05</w:t>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253" w:type="dxa"/>
            <w:tcBorders/>
            <w:vAlign w:val="bottom"/>
          </w:tcPr>
          <w:p>
            <w:pPr>
              <w:pStyle w:val="TableContents"/>
              <w:bidi w:val="0"/>
              <w:spacing w:before="0" w:after="283"/>
              <w:jc w:val="right"/>
              <w:rPr/>
            </w:pPr>
            <w:r>
              <w:rPr/>
              <w:t> </w:t>
            </w:r>
            <w:r>
              <w:rPr/>
              <w:t>1,541</w:t>
            </w:r>
          </w:p>
        </w:tc>
        <w:tc>
          <w:tcPr>
            <w:tcW w:w="60" w:type="dxa"/>
            <w:tcBorders/>
            <w:vAlign w:val="bottom"/>
          </w:tcPr>
          <w:p>
            <w:pPr>
              <w:pStyle w:val="TableContents"/>
              <w:bidi w:val="0"/>
              <w:spacing w:before="0" w:after="283"/>
              <w:jc w:val="left"/>
              <w:rPr/>
            </w:pPr>
            <w:r>
              <w:rPr/>
              <w:t> </w:t>
            </w:r>
          </w:p>
        </w:tc>
      </w:tr>
      <w:tr>
        <w:trPr/>
        <w:tc>
          <w:tcPr>
            <w:tcW w:w="6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July 2022</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2333" w:type="dxa"/>
            <w:tcBorders/>
            <w:shd w:fill="CCEEFF" w:val="clear"/>
            <w:vAlign w:val="bottom"/>
          </w:tcPr>
          <w:p>
            <w:pPr>
              <w:pStyle w:val="TableContents"/>
              <w:bidi w:val="0"/>
              <w:spacing w:before="0" w:after="283"/>
              <w:jc w:val="right"/>
              <w:rPr/>
            </w:pPr>
            <w:r>
              <w:rPr/>
              <w:t>June 30, 2022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212" w:type="dxa"/>
            <w:tcBorders/>
            <w:shd w:fill="CCEEFF" w:val="clear"/>
            <w:vAlign w:val="bottom"/>
          </w:tcPr>
          <w:p>
            <w:pPr>
              <w:pStyle w:val="TableContents"/>
              <w:bidi w:val="0"/>
              <w:spacing w:before="0" w:after="283"/>
              <w:jc w:val="right"/>
              <w:rPr/>
            </w:pPr>
            <w:r>
              <w:rPr/>
              <w:t>August 9, 2022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August 12, 2022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4" w:type="dxa"/>
            <w:tcBorders/>
            <w:shd w:fill="CCEEFF" w:val="clear"/>
            <w:vAlign w:val="bottom"/>
          </w:tcPr>
          <w:p>
            <w:pPr>
              <w:pStyle w:val="TableContents"/>
              <w:bidi w:val="0"/>
              <w:spacing w:before="0" w:after="283"/>
              <w:jc w:val="right"/>
              <w:rPr/>
            </w:pPr>
            <w:r>
              <w:rPr/>
              <w:t>0.05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1,541</w:t>
            </w:r>
          </w:p>
        </w:tc>
        <w:tc>
          <w:tcPr>
            <w:tcW w:w="60" w:type="dxa"/>
            <w:tcBorders/>
            <w:shd w:fill="CCEEFF" w:val="clear"/>
            <w:vAlign w:val="bottom"/>
          </w:tcPr>
          <w:p>
            <w:pPr>
              <w:pStyle w:val="TableContents"/>
              <w:bidi w:val="0"/>
              <w:spacing w:before="0" w:after="283"/>
              <w:jc w:val="left"/>
              <w:rPr/>
            </w:pPr>
            <w:r>
              <w:rPr/>
              <w:t> </w:t>
            </w:r>
          </w:p>
        </w:tc>
      </w:tr>
      <w:tr>
        <w:trPr/>
        <w:tc>
          <w:tcPr>
            <w:tcW w:w="665" w:type="dxa"/>
            <w:tcBorders/>
          </w:tcPr>
          <w:p>
            <w:pPr>
              <w:pStyle w:val="TableContents"/>
              <w:bidi w:val="0"/>
              <w:spacing w:before="0" w:after="0"/>
              <w:jc w:val="left"/>
              <w:rPr>
                <w:rFonts w:ascii="Times New Roman" w:hAnsi="Times New Roman"/>
                <w:sz w:val="20"/>
              </w:rPr>
            </w:pPr>
            <w:r>
              <w:rPr>
                <w:rFonts w:ascii="Times New Roman" w:hAnsi="Times New Roman"/>
                <w:sz w:val="20"/>
              </w:rPr>
              <w:t>October 2022</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333" w:type="dxa"/>
            <w:tcBorders/>
            <w:vAlign w:val="bottom"/>
          </w:tcPr>
          <w:p>
            <w:pPr>
              <w:pStyle w:val="TableContents"/>
              <w:bidi w:val="0"/>
              <w:spacing w:before="0" w:after="283"/>
              <w:jc w:val="right"/>
              <w:rPr/>
            </w:pPr>
            <w:r>
              <w:rPr/>
              <w:t>September 30, 2022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212" w:type="dxa"/>
            <w:tcBorders/>
            <w:vAlign w:val="bottom"/>
          </w:tcPr>
          <w:p>
            <w:pPr>
              <w:pStyle w:val="TableContents"/>
              <w:bidi w:val="0"/>
              <w:spacing w:before="0" w:after="283"/>
              <w:jc w:val="right"/>
              <w:rPr/>
            </w:pPr>
            <w:r>
              <w:rPr/>
              <w:t>November 8, 2022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right"/>
              <w:rPr/>
            </w:pPr>
            <w:r>
              <w:rPr/>
              <w:t>November 10, 2022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4" w:type="dxa"/>
            <w:tcBorders/>
            <w:vAlign w:val="bottom"/>
          </w:tcPr>
          <w:p>
            <w:pPr>
              <w:pStyle w:val="TableContents"/>
              <w:bidi w:val="0"/>
              <w:spacing w:before="0" w:after="283"/>
              <w:jc w:val="right"/>
              <w:rPr/>
            </w:pPr>
            <w:r>
              <w:rPr/>
              <w:t>0.05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253" w:type="dxa"/>
            <w:tcBorders/>
            <w:vAlign w:val="bottom"/>
          </w:tcPr>
          <w:p>
            <w:pPr>
              <w:pStyle w:val="TableContents"/>
              <w:bidi w:val="0"/>
              <w:spacing w:before="0" w:after="283"/>
              <w:jc w:val="right"/>
              <w:rPr/>
            </w:pPr>
            <w:r>
              <w:rPr/>
              <w:t>1,540</w:t>
            </w:r>
          </w:p>
        </w:tc>
        <w:tc>
          <w:tcPr>
            <w:tcW w:w="60" w:type="dxa"/>
            <w:tcBorders/>
            <w:vAlign w:val="bottom"/>
          </w:tcPr>
          <w:p>
            <w:pPr>
              <w:pStyle w:val="TableContents"/>
              <w:bidi w:val="0"/>
              <w:spacing w:before="0" w:after="283"/>
              <w:jc w:val="left"/>
              <w:rPr/>
            </w:pPr>
            <w:r>
              <w:rPr/>
              <w:t> </w:t>
            </w:r>
          </w:p>
        </w:tc>
      </w:tr>
      <w:tr>
        <w:trPr/>
        <w:tc>
          <w:tcPr>
            <w:tcW w:w="6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2023</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2333" w:type="dxa"/>
            <w:tcBorders/>
            <w:shd w:fill="CCEEFF" w:val="clear"/>
            <w:vAlign w:val="bottom"/>
          </w:tcPr>
          <w:p>
            <w:pPr>
              <w:pStyle w:val="TableContents"/>
              <w:bidi w:val="0"/>
              <w:spacing w:before="0" w:after="283"/>
              <w:jc w:val="right"/>
              <w:rPr/>
            </w:pPr>
            <w:r>
              <w:rPr/>
              <w:t>December 31, 2022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212" w:type="dxa"/>
            <w:tcBorders/>
            <w:shd w:fill="CCEEFF" w:val="clear"/>
            <w:vAlign w:val="bottom"/>
          </w:tcPr>
          <w:p>
            <w:pPr>
              <w:pStyle w:val="TableContents"/>
              <w:bidi w:val="0"/>
              <w:spacing w:before="0" w:after="283"/>
              <w:jc w:val="right"/>
              <w:rPr/>
            </w:pPr>
            <w:r>
              <w:rPr/>
              <w:t>February 10, 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February 14, 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4" w:type="dxa"/>
            <w:tcBorders/>
            <w:shd w:fill="CCEEFF" w:val="clear"/>
            <w:vAlign w:val="bottom"/>
          </w:tcPr>
          <w:p>
            <w:pPr>
              <w:pStyle w:val="TableContents"/>
              <w:bidi w:val="0"/>
              <w:spacing w:before="0" w:after="283"/>
              <w:jc w:val="right"/>
              <w:rPr/>
            </w:pPr>
            <w:r>
              <w:rPr/>
              <w:t>0.05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1,540</w:t>
            </w:r>
          </w:p>
        </w:tc>
        <w:tc>
          <w:tcPr>
            <w:tcW w:w="60" w:type="dxa"/>
            <w:tcBorders/>
            <w:shd w:fill="CCEEFF" w:val="clear"/>
            <w:vAlign w:val="bottom"/>
          </w:tcPr>
          <w:p>
            <w:pPr>
              <w:pStyle w:val="TableContents"/>
              <w:bidi w:val="0"/>
              <w:spacing w:before="0" w:after="283"/>
              <w:jc w:val="left"/>
              <w:rPr/>
            </w:pPr>
            <w:r>
              <w:rPr/>
              <w:t> </w:t>
            </w:r>
          </w:p>
        </w:tc>
      </w:tr>
      <w:tr>
        <w:trPr/>
        <w:tc>
          <w:tcPr>
            <w:tcW w:w="665" w:type="dxa"/>
            <w:tcBorders/>
          </w:tcPr>
          <w:p>
            <w:pPr>
              <w:pStyle w:val="TableContents"/>
              <w:bidi w:val="0"/>
              <w:spacing w:before="0" w:after="0"/>
              <w:jc w:val="left"/>
              <w:rPr>
                <w:rFonts w:ascii="Times New Roman" w:hAnsi="Times New Roman"/>
                <w:sz w:val="20"/>
              </w:rPr>
            </w:pPr>
            <w:r>
              <w:rPr>
                <w:rFonts w:ascii="Times New Roman" w:hAnsi="Times New Roman"/>
                <w:sz w:val="20"/>
              </w:rPr>
              <w:t>April 2023</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333" w:type="dxa"/>
            <w:tcBorders/>
            <w:vAlign w:val="bottom"/>
          </w:tcPr>
          <w:p>
            <w:pPr>
              <w:pStyle w:val="TableContents"/>
              <w:bidi w:val="0"/>
              <w:spacing w:before="0" w:after="283"/>
              <w:jc w:val="right"/>
              <w:rPr/>
            </w:pPr>
            <w:r>
              <w:rPr/>
              <w:t>March 31, 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212" w:type="dxa"/>
            <w:tcBorders/>
            <w:vAlign w:val="bottom"/>
          </w:tcPr>
          <w:p>
            <w:pPr>
              <w:pStyle w:val="TableContents"/>
              <w:bidi w:val="0"/>
              <w:spacing w:before="0" w:after="283"/>
              <w:jc w:val="right"/>
              <w:rPr/>
            </w:pPr>
            <w:r>
              <w:rPr/>
              <w:t>May 9, 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right"/>
              <w:rPr/>
            </w:pPr>
            <w:r>
              <w:rPr/>
              <w:t>May 12, 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4" w:type="dxa"/>
            <w:tcBorders/>
            <w:vAlign w:val="bottom"/>
          </w:tcPr>
          <w:p>
            <w:pPr>
              <w:pStyle w:val="TableContents"/>
              <w:bidi w:val="0"/>
              <w:spacing w:before="0" w:after="283"/>
              <w:jc w:val="right"/>
              <w:rPr/>
            </w:pPr>
            <w:r>
              <w:rPr/>
              <w:t>0.05</w:t>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253" w:type="dxa"/>
            <w:tcBorders/>
            <w:vAlign w:val="bottom"/>
          </w:tcPr>
          <w:p>
            <w:pPr>
              <w:pStyle w:val="TableContents"/>
              <w:bidi w:val="0"/>
              <w:spacing w:before="0" w:after="283"/>
              <w:jc w:val="right"/>
              <w:rPr/>
            </w:pPr>
            <w:r>
              <w:rPr/>
              <w:t> </w:t>
            </w:r>
            <w:r>
              <w:rPr/>
              <w:t>1,540</w:t>
            </w:r>
          </w:p>
        </w:tc>
        <w:tc>
          <w:tcPr>
            <w:tcW w:w="6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is no guarantee that we will pay the quarterly distribution on the common units in any quarter. The amount of distributions paid under our policy and the decision to make any distribution is determined by our board of directors, taking into consideration the terms of our partnership agreement. We are prohibited from making any distributions to unitholders if it would cause an event of default, or an event of default exists, under our existing credit facilities.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x398843_10"/>
      <w:bookmarkEnd w:id="12"/>
      <w:r>
        <w:rPr>
          <w:rFonts w:ascii="Times New Roman" w:hAnsi="Times New Roman"/>
          <w:b/>
          <w:sz w:val="20"/>
        </w:rPr>
        <w:t xml:space="preserve">THE 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descriptions of the securities contained in this prospectus, together with the applicable prospectus supplements, summarize all the material terms and provisions of the various types of securities that we may offer. We will describe in the applicable prospectus supplement relating to any securities the particular terms of the securities offered by that prospectus supplement. If we indicate in the applicable prospectus supplement, the terms of the securities may differ from the terms we have summarized below. We will also include information in the prospectus supplement, where applicable, about material United States federal income tax considerations, if any, relating to the securities, and the securities exchange, if any, on which the securities will be listed. </w:t>
      </w:r>
    </w:p>
    <w:p>
      <w:pPr>
        <w:pStyle w:val="TextBody"/>
        <w:bidi w:val="0"/>
        <w:spacing w:before="240" w:after="0"/>
        <w:jc w:val="left"/>
        <w:rPr>
          <w:rFonts w:ascii="Times New Roman" w:hAnsi="Times New Roman"/>
          <w:sz w:val="20"/>
        </w:rPr>
      </w:pPr>
      <w:r>
        <w:rPr>
          <w:rFonts w:ascii="Times New Roman" w:hAnsi="Times New Roman"/>
          <w:sz w:val="20"/>
        </w:rPr>
        <w:t xml:space="preserve">We may sell from time to time, in one or more offerings: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units;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consummate a sale of securities unless it is accompanied by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x398843_11"/>
      <w:bookmarkEnd w:id="13"/>
      <w:r>
        <w:rPr>
          <w:rFonts w:ascii="Times New Roman" w:hAnsi="Times New Roman"/>
          <w:b/>
          <w:sz w:val="20"/>
        </w:rPr>
        <w:t xml:space="preserve">COMMON UNITS </w:t>
      </w:r>
    </w:p>
    <w:p>
      <w:pPr>
        <w:pStyle w:val="TextBody"/>
        <w:bidi w:val="0"/>
        <w:spacing w:before="240" w:after="0"/>
        <w:jc w:val="left"/>
        <w:rPr>
          <w:rFonts w:ascii="Times New Roman" w:hAnsi="Times New Roman"/>
          <w:b/>
          <w:sz w:val="20"/>
        </w:rPr>
      </w:pPr>
      <w:r>
        <w:rPr>
          <w:rFonts w:ascii="Times New Roman" w:hAnsi="Times New Roman"/>
          <w:b/>
          <w:sz w:val="20"/>
        </w:rPr>
        <w:t xml:space="preserve">The Units </w:t>
      </w:r>
    </w:p>
    <w:p>
      <w:pPr>
        <w:pStyle w:val="TextBody"/>
        <w:bidi w:val="0"/>
        <w:spacing w:before="120" w:after="0"/>
        <w:jc w:val="left"/>
        <w:rPr>
          <w:rFonts w:ascii="Times New Roman" w:hAnsi="Times New Roman"/>
          <w:sz w:val="20"/>
        </w:rPr>
      </w:pPr>
      <w:r>
        <w:rPr>
          <w:rFonts w:ascii="Times New Roman" w:hAnsi="Times New Roman"/>
          <w:sz w:val="20"/>
        </w:rPr>
        <w:t xml:space="preserve">The common units represent limited partner interests in us. The holders of common units are entitled to participate in partnership distributions and exercise the rights and privileges available to limited partners under our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For a description of the relative rights and privileges of holders of common units in and to partnership distributions, please read the section Our Cash Distribution Policy and Restrictions on Distributions herein. For a description of the rights and privileges of limited partners under our partnership agreement, including voting rights, please read The Partnership Agreement in the prospectus dated November 12, 2007 included in our registration statement on Form F-1, as amended, initially filed with the SEC on October 26, 2007.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b/>
          <w:i/>
          <w:sz w:val="20"/>
        </w:rPr>
      </w:pPr>
      <w:r>
        <w:rPr>
          <w:rFonts w:ascii="Times New Roman" w:hAnsi="Times New Roman"/>
          <w:b/>
          <w:i/>
          <w:sz w:val="20"/>
        </w:rPr>
        <w:t xml:space="preserve">Duties </w:t>
      </w:r>
    </w:p>
    <w:p>
      <w:pPr>
        <w:pStyle w:val="TextBody"/>
        <w:bidi w:val="0"/>
        <w:spacing w:before="120" w:after="0"/>
        <w:jc w:val="left"/>
        <w:rPr>
          <w:rFonts w:ascii="Times New Roman" w:hAnsi="Times New Roman"/>
          <w:sz w:val="20"/>
        </w:rPr>
      </w:pPr>
      <w:r>
        <w:rPr>
          <w:rFonts w:ascii="Times New Roman" w:hAnsi="Times New Roman"/>
          <w:sz w:val="20"/>
        </w:rPr>
        <w:t xml:space="preserve">Continental Stock Transfer &amp; Trust Company serves as registrar and transfer agent for the common units. We pay all fees charged by the transfer agent for transfers of common units, except the following, which must be paid by unitholders: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surety bond premiums to replace lost or stolen certificates, taxes and other governmental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 charges for services requested by a holder of a common unit;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similar fees or charges.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is no charge to unitholders for disbursements of our cash distributions. We will indemnify the transfer agent, its agents and each of their stockholders, directors, executive officers and employees against all claims and losses that may arise out of acts performed or omitted for its activities in that capacity, except for any liability due to any gross negligence or intentional misconduct of the indemnified person or entity.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Resignation or Removal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may resign, by notice to us, or be removed by us. The resignation or removal of the transfer agent will become effective upon our appointment of a successor transfer agent and registrar and its acceptance of the appointment. If a successor has not been appointed or has not accepted its appointment within 30 days after notice of the resignation or removal, our General Partner may, at the direction of our board of directors, act as the transfer agent and registrar until a successor is appointed.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of Common Units </w:t>
      </w:r>
    </w:p>
    <w:p>
      <w:pPr>
        <w:pStyle w:val="TextBody"/>
        <w:bidi w:val="0"/>
        <w:spacing w:before="120" w:after="0"/>
        <w:jc w:val="left"/>
        <w:rPr>
          <w:rFonts w:ascii="Times New Roman" w:hAnsi="Times New Roman"/>
          <w:sz w:val="20"/>
        </w:rPr>
      </w:pPr>
      <w:r>
        <w:rPr>
          <w:rFonts w:ascii="Times New Roman" w:hAnsi="Times New Roman"/>
          <w:sz w:val="20"/>
        </w:rPr>
        <w:t xml:space="preserve">By transfer of common units in accordance with our partnership agreement, each transferee of common units shall be admitted as a limited partner with respect to the common units transferred when such transfer and admission is reflected in our books and records. Each transferee: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that the transferee has the capacity, power and authority to become bound by our partnership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automatically agrees to be bound by the terms and conditions of, and is deemed to have executed, our partnership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gives the consents and approvals contained in our partnership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transferee will become a substituted limited partner of our partnership for the transferred common units automatically upon the recording of the transfer on our books and records. Our General Partner will cause any transfers to be recorded on our books and records no less frequently than quarterly. We may, at our discretion, treat the nominee holder of a common unit as the absolute owner. In that case, the beneficial holders rights are limited solely to those that it has against the nominee holder as a result of any agreement between the beneficial owner and the nominee holder. </w:t>
      </w:r>
    </w:p>
    <w:p>
      <w:pPr>
        <w:pStyle w:val="TextBody"/>
        <w:bidi w:val="0"/>
        <w:spacing w:before="240" w:after="0"/>
        <w:jc w:val="left"/>
        <w:rPr>
          <w:rFonts w:ascii="Times New Roman" w:hAnsi="Times New Roman"/>
          <w:sz w:val="20"/>
        </w:rPr>
      </w:pPr>
      <w:r>
        <w:rPr>
          <w:rFonts w:ascii="Times New Roman" w:hAnsi="Times New Roman"/>
          <w:sz w:val="20"/>
        </w:rPr>
        <w:t xml:space="preserve">Common units are securities and are transferable according to the laws governing transfer of securities. In addition to other rights acquired upon transfer, the transferor gives the transferee the right to become a limited partner in our partnership for the transferred common units. Until a common unit has been transferred on our books, we and the transfer agent may treat the recordholder of the unit as the absolute owner for all purposes, except as otherwise required by law or stock exchange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tx398843_12"/>
      <w:bookmarkEnd w:id="14"/>
      <w:r>
        <w:rPr>
          <w:rFonts w:ascii="Times New Roman" w:hAnsi="Times New Roman"/>
          <w:b/>
          <w:sz w:val="20"/>
        </w:rPr>
        <w:t xml:space="preserve">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the debt securities that we may offer under this prospectus. While the terms we have summarized below will apply generally to any future debt securities we may offer, we will describe the particular terms of any debt securities that we may offer in more detail in the applicable prospectus supplement. If we so indicate in a prospectus supplement, the terms of any debt securities we offer under that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we may offer and sell pursuant to this prospectus will be either senior debt securities or subordinated debt securities. We will issue the senior notes under the senior indenture, which we will enter into with a trustee to be named in the senior indenture. We will issue the subordinated notes under the subordinated indenture, which we will enter into with a trustee to be named in the subordinated indenture. We use the term indentures to refer to both the senior indenture and the subordinated indenture. The indentures will be qualified under the Trust Indenture Act. We use the term debenture trustee to refer to either the senior trustee or the subordinated trustee,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summaries of material provisions of any series of debt securities and the indentures are subject to, and qualified in their entirety by reference to, all the provisions of the indenture applicable to a particular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each prospectus supplement the following terms relating to a series of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we will issue the series of notes in global form, the terms and who the depository will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interest rate,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notes will be issued with original issue discount.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notes will be secured or unsecured, and the terms of any secured debt; the terms of the subordination of any series of subordinated debt; the place where payments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after which, and the price at which, we may, at our option, redeem the series of notes pursuant to any optional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which, and the price at which we are obligated, pursuant to any mandatory sinking fund provisions or otherwise, to redeem, or at the holders option to purchase, the series of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indenture will restrict our ability to pay dividends, or will require us to maintain any asset ratios or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be restricted from incurring any additional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United States federal income tax considerations applicable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notes, if other than denominations of $1,000 and any integral multiple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prospectus supplement the terms on which a series of notes may be convertible into or exchangeable for common units or other securities of ours. We will include provisions as to whether conversion or exchange is mandatory, at the option of the holder or at our option. We may include provisions pursuant to which the number of shares of common units or other securities of ours that the holders of the series of notes receive would be subject to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do not contain any covenant which restricts our ability to merge or consolidate, or sell, convey, transfer or otherwise dispose of all or substantially all of our assets. However, any successor to or acquirer of such assets must assume all of our obligations under the indentures or the notes,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events of default under the indentures with respect to any series of notes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interest when due and our failure continues for 90 days and the time for payment has not been extended or deferred;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or premium, if any, when due and the time for payment has not been extended or delayed;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contained in the notes or the indentures, other than a covenant specifically relating to another series of notes, and our failure continues for 90 days after we receive notice from the debenture trustee or holders of at least 25% in aggregate principal amount of the outstanding notes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as to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notes of any series occurs and is continuing, the debenture trustee or the holders of at least 25% in aggregate principal amount of the outstanding notes of that series, by notice to us in writing, and to the debenture trustee if notice is given by such holders, may declare the unpaid principal of, premium, if any, and accrued interest, if any, due and payable immediately.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notes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notes, unless such holders have offered the debenture trustee reasonable indemnity. The holders of a majority in principal amount of the outstanding notes of any series will have the right to direct the time, method and place of conducting any proceeding for any remedy available to the debenture trustee, or exercising any trust or power conferred on the debenture trustee, with respect to the notes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debenture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notes of any series will only have the right to institute a proceeding under the indentures or to appoint a receiver or trustee, or to seek other remedies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debenture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notes of that series have made written request, and such holders have offered reasonable indemnity, to the debenture trustee to institute the proceeding as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debenture trustee does not institute the proceeding, and does not receive from the holders of a majority in aggregate principal amount of the outstanding notes of that series other conflicting directions within 60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notes if we default in the payment of the principal, premium, if any, or interest on, the notes.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debenture trustee regarding our compliance with specified covenants in the indentures.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debenture trustee may change an indenture without the consent of any holders with respect to specific matters,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fix any ambiguity, defect or inconsistency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anything that does not materially adversely affect the interests of any holder of notes of any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indentures, the rights of holders of a series of notes may be changed by us and the debenture trustee with the written consent of the holders of at least a majority in aggregate principal amount of the outstanding notes of each series that is affected. However, we and the debenture trustee may only make the following changes with the consent of each holder of any outstanding notes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the series of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any premium payable upon the redemption of any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notes, the holders of which are required to consent to any amendment.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we can elect to be discharged from our obligations with respect to one or more series of debt securities, except for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notes of each series only in fully registered form without coupons and, unless we otherwise specify in the applicable prospectus supplement, in denominations of $1,000 and any integral multiple thereof. The indentures provide that we may issue notes of a series in temporary or permanent global form and as book-entry securities that will be deposited with, or on behalf of, The Depository Trust Company or another depository named by us and identified in a prospectus supplement with respect to that series.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indentures and the limitations applicable to global securities described in the applicable prospectus supplement, the holder of the notes of any series can exchange the notes for other notes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and the limitations applicable to global securities set forth in the applicable prospectus supplement, holders of the notes may present the notes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notes that the holder presents for transfer or exchange, we will make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notes. We may at any time designate additional transfer agents or rescind the designation of any transfer agent or approve a change in the office through which any transfer agent acts, except that we will be required to maintain a transfer agent in each place of payment for the notes of each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elect to redeem the notes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notes of that series during a period beginning at the opening of business 15 days before the day of mailing of a notice of redemption of any notes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notes so selected for redemption, in whole or in part, except the unredeemed portion of any notes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Debenture Trustee </w:t>
      </w:r>
    </w:p>
    <w:p>
      <w:pPr>
        <w:pStyle w:val="TextBody"/>
        <w:bidi w:val="0"/>
        <w:spacing w:before="120" w:after="0"/>
        <w:jc w:val="left"/>
        <w:rPr>
          <w:rFonts w:ascii="Times New Roman" w:hAnsi="Times New Roman"/>
          <w:sz w:val="20"/>
        </w:rPr>
      </w:pPr>
      <w:r>
        <w:rPr>
          <w:rFonts w:ascii="Times New Roman" w:hAnsi="Times New Roman"/>
          <w:sz w:val="20"/>
        </w:rPr>
        <w:t xml:space="preserve">The debenture trustee, other than during the occurrence and continuance of an event of default under an indenture, undertakes to perform only those duties as are specifically set forth in the applicable indenture. Upon an event of default under an indenture, the debenture trustee must use the same degree of care as a prudent person would exercise or use in the conduct of his or her own affairs. Subject to this provision, the debenture trustee is under no obligation to exercise any of the powers given it by the indentures at the request of any holder of notes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notes on any interest payment date to the person in whose name the notes,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notes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notes of each series. We will name in the applicable prospectus supplement any other paying agents that we initially designate for the notes of a particular series. We will maintain a paying agent in each place of payment for the notes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debenture trustee for the payment of the principal of or any premium or interest on any notes which remains unclaimed at the end of two years after such principal, premium or interest has become due and payable will be repaid to us, and the holder of the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notes will be governed by and construed in accordance with the laws of the Republic of Marshall Islands, except to the extent that the Trust Indenture Act is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of Subordinated Notes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notes will be unsecured and will be subordinate and junior in priority of payment to certain of our other indebtedness to the extent described in a prospectus supplement. The subordinated indenture does not limit the amount of subordinated notes which we may issue. It also does not limit us from issuing any other secured or unsecured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tx398843_13"/>
      <w:bookmarkEnd w:id="15"/>
      <w:r>
        <w:rPr>
          <w:rFonts w:ascii="Times New Roman" w:hAnsi="Times New Roman"/>
          <w:b/>
          <w:sz w:val="20"/>
        </w:rPr>
        <w:t xml:space="preserve">LEGAL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trustee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240" w:after="0"/>
        <w:jc w:val="left"/>
        <w:rPr>
          <w:rFonts w:ascii="Times New Roman" w:hAnsi="Times New Roman"/>
          <w:sz w:val="20"/>
        </w:rPr>
      </w:pPr>
      <w:r>
        <w:rPr>
          <w:rFonts w:ascii="Times New Roman" w:hAnsi="Times New Roman"/>
          <w:sz w:val="20"/>
        </w:rPr>
        <w:t xml:space="preserve">For example, once we make a payment or give a notice to the holder, we have no further responsibility for the payment or notice even if that holder is required, under agreements with depositary participants or customers or by law, to pass the payment or notice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the responsibility of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securities through a bank, broker or other financial institution, either in book-entry form or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holder, if that is permitted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is a security held by a depositary which represents one or any other number of individual securities. Generally, all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issued only in the form of a global security,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securities to be registered in his or her name, and cannot obtain non-global certificates for his or her interest in the securities, except in the special situations we describe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securities and protection of his or her legal rights relating to the securities, as we describe under Legal Ownership of Securities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a global security in circumstances where certificates representing the securities must be delivered to the lender or other beneficiary of the pledge in order for the pledge to be effective;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a global security. We and any applicable trustee have no responsibility for any aspect of the depositarys actions or for its records of ownership interests in a global security. We and the trustee also do not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may, and we understand that DTC will, require that those who purchase and sell interests in a global security within its book-entry system use immediately available funds, and your broker or bank may require you to do so as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a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 </w:t>
      </w:r>
    </w:p>
    <w:p>
      <w:pPr>
        <w:pStyle w:val="TextBody"/>
        <w:bidi w:val="0"/>
        <w:spacing w:before="240" w:after="0"/>
        <w:jc w:val="left"/>
        <w:rPr>
          <w:rFonts w:ascii="Times New Roman" w:hAnsi="Times New Roman"/>
          <w:sz w:val="20"/>
        </w:rPr>
      </w:pPr>
      <w:r>
        <w:rPr>
          <w:rFonts w:ascii="Times New Roman" w:hAnsi="Times New Roman"/>
          <w:sz w:val="20"/>
        </w:rPr>
        <w:t xml:space="preserve">The global security will terminate when the following special situations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do not appoint another institution to act as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notify any applicable trustee that we wish to terminate that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securities represented by that global security and has not been cured or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may also list additional situations for terminating a global security that would apply only to the particular series of securities covered by the prospectus supplement. When a global security terminates, the depositary, and not we or any applicable trustee, is responsible for deciding the names of the institutions that will be the initial direct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x398843_14"/>
      <w:bookmarkEnd w:id="1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being offered hereby in one or more of the following ways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or agents to the public or to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underwriters for resale to the public or to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investors;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such methods.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set forth in a prospectus supplement the terms of the offering of securities,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agents, dealers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being offered and the proceeds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initial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exchanges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that participate in the distribution of the securities may be deemed to be underwriters as defined in the Securities Act and any discounts or commissions they receive from us and any profit on their resale of the securities may be treated as underwriting discounts and commissions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or our subsidiaries in the ordinary course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Certain persons that participate in the distribution of the securities may engage in transactions that stabilize, maintain or otherwise affect the price of the securities, including over-allotment, stabilizing and short-covering transactions in such securities, and the imposition of penalty bids, in connection with an offering. Certain persons may also engage in passive market making transactions as permitted by Rule 103 of Regulation M.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w:t>
      </w:r>
    </w:p>
    <w:p>
      <w:pPr>
        <w:pStyle w:val="TextBody"/>
        <w:bidi w:val="0"/>
        <w:spacing w:before="240" w:after="0"/>
        <w:jc w:val="left"/>
        <w:rPr>
          <w:rFonts w:ascii="Times New Roman" w:hAnsi="Times New Roman"/>
          <w:sz w:val="20"/>
        </w:rPr>
      </w:pPr>
      <w:r>
        <w:rPr>
          <w:rFonts w:ascii="Times New Roman" w:hAnsi="Times New Roman"/>
          <w:sz w:val="20"/>
        </w:rPr>
        <w:t xml:space="preserve">We may enter into a continuous offering program or equity distribution agreement with a broker-dealer, under which we may offer and sell our common units from time to time through a broker-dealer as our sales agent. If we enter into such a program, sales of securities, if any, will be made by means of ordinary brokers transactions on the NYSE at market prices, block transactions and such other transactions as agreed upon by us and the broker-dealer. Under the terms of such a program, we also may sell securities to the broker-dealer, as principal for its own account at a price agreed upon at the time of sale. If we sell securities to such broker-dealer as principal, we will enter into a separate terms agreement with such broker-dealer, and we will describe this agreement in a separate prospectus supplement or pricing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x398843_15"/>
      <w:bookmarkEnd w:id="17"/>
      <w:r>
        <w:rPr>
          <w:rFonts w:ascii="Times New Roman" w:hAnsi="Times New Roman"/>
          <w:b/>
          <w:sz w:val="20"/>
        </w:rPr>
        <w:t xml:space="preserve">OUR CASH DISTRIBUTION POLICY AND RESTRICTIONS ON DISTRIBUTIONS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of our cash distribution policy and restrictions on distributions in conjunction with specific assumptions included in this section. In addition, you should read Forward-Looking Statements and Risk Factors for information regarding statements that do not relate strictly to historical or current facts and certain risks inherent in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Limitations on Cash Distributions and Our Ability to Change Our Cash Distribution Policy </w:t>
      </w:r>
    </w:p>
    <w:p>
      <w:pPr>
        <w:pStyle w:val="TextBody"/>
        <w:bidi w:val="0"/>
        <w:spacing w:before="120" w:after="0"/>
        <w:jc w:val="left"/>
        <w:rPr>
          <w:rFonts w:ascii="Times New Roman" w:hAnsi="Times New Roman"/>
          <w:sz w:val="20"/>
        </w:rPr>
      </w:pPr>
      <w:r>
        <w:rPr>
          <w:rFonts w:ascii="Times New Roman" w:hAnsi="Times New Roman"/>
          <w:sz w:val="20"/>
        </w:rPr>
        <w:t xml:space="preserve">There is no guarantee that unitholders will continue to receive quarterly distributions from us. Beginning with the quarter ending December 31, 2015, our board of directors elected to suspend distributions on our common units in order to preserve cash and improve our liquidity. In March 2018, the Companys board of directors announced a new distribution policy and reinstituted quarterly cash distributions. In July 2020, the Company amended its distribution policy under which it intends to pay quarterly cash distributions to an amount of $0.05 per unit, or $0.20 annually. Our distribution policy is subject to certain restrictions and may be changed at any time,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While our partnership agreement requires us to distribute all of our available cash, our partnership agreement, including provisions requiring us to make cash distributions contained therein, may be amended. Although during the subordination period, with certain exceptions, our partnership agreement could not be amended without the approval of non-affiliated common unitholders, our partnership agreement can be amended with the approval of a majority of the outstanding common units after the subordination period has ended. Upon the closing of the IPO, Navios Holdings did not own any of our outstanding common units and owned 100.0% of our outstanding subordinated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Section 51 of the Marshall Islands Limited Partnership Act, we may not make a distribution to our unitholders if the distribution would cause our liabilities to exceed the fair value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lack sufficient cash to pay distributions to our unitholders due to decreases in net revenues or increases in operating expenses, principal and interest payments on outstanding debt, tax expenses, working capital requirements, maintenance and replacement capital expenditures or anticipated cash needs.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distribution policy is affected by restrictions on distributions under our credit facilities or other debt instruments. Specifically, our credit facilities contain material financial tests that must be satisfied and we will not pay any distributions that will cause us to violate our credit facilities or other debt instruments. Should we be unable to satisfy these restrictions included in our credit facilities or if we are otherwise in default under our credit facilities, our ability to make cash distributions to unitholders, notwithstanding our cash distribution policy, would be materially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make distributions out of capital surplus, as opposed to operating surplus, such distributions will constitute a return of capital and will result in a reduction in the minimum quarterly distribution and the target distribution levels. We do not anticipate that we will make any distributions from capital surplus.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ability to make distributions to our unitholders depends on the performance of our subsidiaries and their ability to distribute funds to us. The ability of our subsidiaries to make distributions to us may be restricted by, among other things, the provisions of existing and future indebtedness, applicable partnership and limited liability company laws and other laws and regulations. </w:t>
      </w:r>
    </w:p>
    <w:p>
      <w:pPr>
        <w:pStyle w:val="TextBody"/>
        <w:bidi w:val="0"/>
        <w:spacing w:before="360" w:after="0"/>
        <w:jc w:val="left"/>
        <w:rPr>
          <w:rFonts w:ascii="Times New Roman" w:hAnsi="Times New Roman"/>
          <w:b/>
          <w:sz w:val="20"/>
        </w:rPr>
      </w:pPr>
      <w:r>
        <w:rPr>
          <w:rFonts w:ascii="Times New Roman" w:hAnsi="Times New Roman"/>
          <w:b/>
          <w:sz w:val="20"/>
        </w:rPr>
        <w:t xml:space="preserve">Quarterly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There is no guarantee that we will pay the quarterly distribution on the common units in any quarter. The amount of distributions paid under our policy and the decision to make any distribution is determined by our board of directors, taking into consideration the terms of our partnership agreement. We are prohibited from making any distributions to unitholders if it would cause an event of default, or an event of default exists, under our existing credit facilities.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July 2021, the Board of Directors of Navios Partners authorized its quarterly cash distribution for the three month period ended June 30, 2021 of $0.05 per unit. The distribution was paid on August 12, 2021 to all unitholders of common and general partnership units of record as of August 9, 2021. The aggregate amount of the declared distribution was $1.4 million. </w:t>
      </w:r>
    </w:p>
    <w:p>
      <w:pPr>
        <w:pStyle w:val="TextBody"/>
        <w:bidi w:val="0"/>
        <w:spacing w:before="240" w:after="0"/>
        <w:jc w:val="left"/>
        <w:rPr>
          <w:rFonts w:ascii="Times New Roman" w:hAnsi="Times New Roman"/>
          <w:sz w:val="20"/>
        </w:rPr>
      </w:pPr>
      <w:r>
        <w:rPr>
          <w:rFonts w:ascii="Times New Roman" w:hAnsi="Times New Roman"/>
          <w:sz w:val="20"/>
        </w:rPr>
        <w:t xml:space="preserve">In October 2021, the Board of Directors of Navios Partners authorized its quarterly cash distribution for the three month period ended September 30, 2021 of $0.05 per unit. The distribution was paid on November 12, 2021 to all unitholders of common and general partnership units of record as of November 8, 2021. The aggregate amount of the declared distribution was $1.5 million. </w:t>
      </w:r>
    </w:p>
    <w:p>
      <w:pPr>
        <w:pStyle w:val="TextBody"/>
        <w:bidi w:val="0"/>
        <w:spacing w:before="240" w:after="0"/>
        <w:jc w:val="left"/>
        <w:rPr>
          <w:rFonts w:ascii="Times New Roman" w:hAnsi="Times New Roman"/>
          <w:sz w:val="20"/>
        </w:rPr>
      </w:pPr>
      <w:r>
        <w:rPr>
          <w:rFonts w:ascii="Times New Roman" w:hAnsi="Times New Roman"/>
          <w:sz w:val="20"/>
        </w:rPr>
        <w:t xml:space="preserve">In January 2022, the Board of Directors of Navios Partners authorized its quarterly cash distribution for the three month period ended December 31, 2021 of $0.05 per unit. The distribution was paid on February 11, 2022 to all unitholders of common and general partnership units of record as of February 9, 2022. The aggregate amount of the declared distribution was $1.5 million. </w:t>
      </w:r>
    </w:p>
    <w:p>
      <w:pPr>
        <w:pStyle w:val="TextBody"/>
        <w:bidi w:val="0"/>
        <w:spacing w:before="240" w:after="0"/>
        <w:jc w:val="left"/>
        <w:rPr>
          <w:rFonts w:ascii="Times New Roman" w:hAnsi="Times New Roman"/>
          <w:sz w:val="20"/>
        </w:rPr>
      </w:pPr>
      <w:r>
        <w:rPr>
          <w:rFonts w:ascii="Times New Roman" w:hAnsi="Times New Roman"/>
          <w:sz w:val="20"/>
        </w:rPr>
        <w:t xml:space="preserve">In April 2022, the Board of Directors of Navios Partners authorized its quarterly cash distribution for the three month period ended March 31, 2022 of $0.05 per unit. The distribution was paid on May 12, 2022 to all unitholders of common and general partnership units of record as of May 9, 2022. The aggregate amount of the declared distribution was $1.5 million. </w:t>
      </w:r>
    </w:p>
    <w:p>
      <w:pPr>
        <w:pStyle w:val="TextBody"/>
        <w:bidi w:val="0"/>
        <w:spacing w:before="240" w:after="0"/>
        <w:jc w:val="left"/>
        <w:rPr>
          <w:rFonts w:ascii="Times New Roman" w:hAnsi="Times New Roman"/>
          <w:sz w:val="20"/>
        </w:rPr>
      </w:pPr>
      <w:r>
        <w:rPr>
          <w:rFonts w:ascii="Times New Roman" w:hAnsi="Times New Roman"/>
          <w:sz w:val="20"/>
        </w:rPr>
        <w:t xml:space="preserve">In July 2022, the Board of Directors of Navios Partners authorized its quarterly cash distribution for the three month period ended June 30, 2022 of $0.05 per unit. The distribution was paid on August 12, 2022 to all unitholders of common and general partnership units of record as of August 9, 2022. The aggregate amount of the declared distribution was $1.5 million. </w:t>
      </w:r>
    </w:p>
    <w:p>
      <w:pPr>
        <w:pStyle w:val="TextBody"/>
        <w:bidi w:val="0"/>
        <w:spacing w:before="240" w:after="0"/>
        <w:jc w:val="left"/>
        <w:rPr>
          <w:rFonts w:ascii="Times New Roman" w:hAnsi="Times New Roman"/>
          <w:sz w:val="20"/>
        </w:rPr>
      </w:pPr>
      <w:r>
        <w:rPr>
          <w:rFonts w:ascii="Times New Roman" w:hAnsi="Times New Roman"/>
          <w:sz w:val="20"/>
        </w:rPr>
        <w:t xml:space="preserve">In October 2022, the Board of Directors of Navios Partners authorized its quarterly cash distribution for the three month period ended September 30, 2022 of $0.05 per unit. The distribution was paid on November 10, 2022 to all unitholders of common and general partnership units of record as of November 8, 2022. The aggregate amount of the declared distribution was $1.5 million. </w:t>
      </w:r>
    </w:p>
    <w:p>
      <w:pPr>
        <w:pStyle w:val="TextBody"/>
        <w:bidi w:val="0"/>
        <w:spacing w:before="240" w:after="0"/>
        <w:jc w:val="left"/>
        <w:rPr>
          <w:rFonts w:ascii="Times New Roman" w:hAnsi="Times New Roman"/>
          <w:sz w:val="20"/>
        </w:rPr>
      </w:pPr>
      <w:r>
        <w:rPr>
          <w:rFonts w:ascii="Times New Roman" w:hAnsi="Times New Roman"/>
          <w:sz w:val="20"/>
        </w:rPr>
        <w:t xml:space="preserve">In January 2023, the Board of Directors of Navios Partners authorized its quarterly cash distribution for the three month period ended December 31, 2022 of $0.05 per unit. The distribution was paid on February 14, 2023 to all unitholders of common and general partnership units of record as of February 10, 2023. The aggregate amount of the declared distribution was $1.5 million. </w:t>
      </w:r>
    </w:p>
    <w:p>
      <w:pPr>
        <w:pStyle w:val="TextBody"/>
        <w:bidi w:val="0"/>
        <w:spacing w:before="240" w:after="0"/>
        <w:jc w:val="left"/>
        <w:rPr>
          <w:rFonts w:ascii="Times New Roman" w:hAnsi="Times New Roman"/>
          <w:sz w:val="20"/>
        </w:rPr>
      </w:pPr>
      <w:r>
        <w:rPr>
          <w:rFonts w:ascii="Times New Roman" w:hAnsi="Times New Roman"/>
          <w:sz w:val="20"/>
        </w:rPr>
        <w:t xml:space="preserve">In April 2023, the Board of Directors of Navios Partners authorized its quarterly cash distribution for the three month period ended March 31, 2023 of $0.05 per unit. The distribution will be payable on May 12, 2023 to all unitholders of common and general partnership units of record as of May 9, 2023. The aggregate amount of the declared distribution is $1.5 million. </w:t>
      </w:r>
    </w:p>
    <w:p>
      <w:pPr>
        <w:pStyle w:val="TextBody"/>
        <w:bidi w:val="0"/>
        <w:spacing w:before="360" w:after="0"/>
        <w:jc w:val="left"/>
        <w:rPr>
          <w:rFonts w:ascii="Times New Roman" w:hAnsi="Times New Roman"/>
          <w:b/>
          <w:sz w:val="20"/>
        </w:rPr>
      </w:pPr>
      <w:r>
        <w:rPr>
          <w:rFonts w:ascii="Times New Roman" w:hAnsi="Times New Roman"/>
          <w:b/>
          <w:sz w:val="20"/>
        </w:rPr>
        <w:t xml:space="preserve">Incentive Distribution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our incentive distribution rights reflects such rights and the indicated levels are achieved, of which there can be no assurance. Incentive distribution rights represent the right to receive an increasing percentage of quarterly distributions of available cash from Operating Surplus after the minimum quarterly distribution and the target distribution levels have been achieved. Navios GP L.L.C. currently holds the incentive distribution rights, but may transfer these rights, provided the transferee agrees to be bound by the terms of the partnership agreement. The following table illustrates the percentage allocations of the additional available cash from Operating Surplus among the unitholders, our General Partner and the holder of our incentive distribution rights up to the various target distribution levels. The amounts set forth under Marginal Percentage Interest in Distributions are the percentage interests of the holders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holders for the minimum quarterly distribution are also applicable to quarterly distribution amounts that are less than the minimum quarterly distribution. The percentage interests shown for our General Partner assume that our General Partner maintains its 2% general partner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9610" w:type="dxa"/>
        <w:jc w:val="center"/>
        <w:tblInd w:w="0" w:type="dxa"/>
        <w:tblLayout w:type="fixed"/>
        <w:tblCellMar>
          <w:top w:w="0" w:type="dxa"/>
          <w:left w:w="0" w:type="dxa"/>
          <w:bottom w:w="0" w:type="dxa"/>
          <w:right w:w="0" w:type="dxa"/>
        </w:tblCellMar>
      </w:tblPr>
      <w:tblGrid>
        <w:gridCol w:w="1010"/>
        <w:gridCol w:w="120"/>
        <w:gridCol w:w="2105"/>
        <w:gridCol w:w="120"/>
        <w:gridCol w:w="228"/>
        <w:gridCol w:w="992"/>
        <w:gridCol w:w="842"/>
        <w:gridCol w:w="183"/>
        <w:gridCol w:w="351"/>
        <w:gridCol w:w="1529"/>
        <w:gridCol w:w="842"/>
        <w:gridCol w:w="183"/>
        <w:gridCol w:w="246"/>
        <w:gridCol w:w="584"/>
        <w:gridCol w:w="275"/>
      </w:tblGrid>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80" w:type="dxa"/>
            <w:gridSpan w:val="10"/>
            <w:tcBorders/>
            <w:vAlign w:val="bottom"/>
          </w:tcPr>
          <w:p>
            <w:pPr>
              <w:pStyle w:val="TableContents"/>
              <w:bidi w:val="0"/>
              <w:spacing w:before="0" w:after="283"/>
              <w:jc w:val="center"/>
              <w:rPr>
                <w:b/>
              </w:rPr>
            </w:pPr>
            <w:r>
              <w:rPr>
                <w:b/>
              </w:rPr>
              <w:t>Marginal Percentage Interest in Distributions</w:t>
            </w:r>
          </w:p>
        </w:tc>
        <w:tc>
          <w:tcPr>
            <w:tcW w:w="27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Total Quarterly Distribution</w:t>
            </w:r>
          </w:p>
          <w:p>
            <w:pPr>
              <w:pStyle w:val="TableContents"/>
              <w:bidi w:val="0"/>
              <w:spacing w:before="0" w:after="20"/>
              <w:jc w:val="center"/>
              <w:rPr>
                <w:rFonts w:ascii="Times New Roman" w:hAnsi="Times New Roman"/>
                <w:b/>
                <w:sz w:val="16"/>
              </w:rPr>
            </w:pPr>
            <w:r>
              <w:rPr>
                <w:rFonts w:ascii="Times New Roman" w:hAnsi="Times New Roman"/>
                <w:b/>
                <w:sz w:val="16"/>
              </w:rPr>
              <w:t>Target Amount</w:t>
            </w:r>
          </w:p>
        </w:tc>
        <w:tc>
          <w:tcPr>
            <w:tcW w:w="12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b/>
              </w:rPr>
            </w:pPr>
            <w:r>
              <w:rPr>
                <w:b/>
              </w:rPr>
              <w:t>Common</w:t>
              <w:br/>
              <w:t>Unitholders</w:t>
            </w:r>
          </w:p>
        </w:tc>
        <w:tc>
          <w:tcPr>
            <w:tcW w:w="84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80" w:type="dxa"/>
            <w:gridSpan w:val="2"/>
            <w:tcBorders/>
            <w:vAlign w:val="bottom"/>
          </w:tcPr>
          <w:p>
            <w:pPr>
              <w:pStyle w:val="TableContents"/>
              <w:bidi w:val="0"/>
              <w:spacing w:before="0" w:after="283"/>
              <w:jc w:val="center"/>
              <w:rPr>
                <w:b/>
              </w:rPr>
            </w:pPr>
            <w:r>
              <w:rPr>
                <w:b/>
              </w:rPr>
              <w:t>Incentive</w:t>
              <w:br/>
              <w:t>Distribution Right</w:t>
              <w:br/>
              <w:t>Holder</w:t>
            </w:r>
          </w:p>
        </w:tc>
        <w:tc>
          <w:tcPr>
            <w:tcW w:w="84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center"/>
              <w:rPr>
                <w:b/>
              </w:rPr>
            </w:pPr>
            <w:r>
              <w:rPr>
                <w:b/>
              </w:rPr>
              <w:t>General</w:t>
              <w:br/>
              <w:t>Partner</w:t>
            </w:r>
          </w:p>
        </w:tc>
        <w:tc>
          <w:tcPr>
            <w:tcW w:w="27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Minimum Quarterly Distribution</w:t>
            </w:r>
          </w:p>
        </w:tc>
        <w:tc>
          <w:tcPr>
            <w:tcW w:w="12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pPr>
            <w:r>
              <w:rPr/>
              <w:t>up to $5.25</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98</w:t>
            </w:r>
          </w:p>
        </w:tc>
        <w:tc>
          <w:tcPr>
            <w:tcW w:w="84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  </w:t>
            </w:r>
          </w:p>
        </w:tc>
        <w:tc>
          <w:tcPr>
            <w:tcW w:w="84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20"/>
              </w:rPr>
            </w:pPr>
            <w:r>
              <w:rPr>
                <w:rFonts w:ascii="Times New Roman" w:hAnsi="Times New Roman"/>
                <w:sz w:val="20"/>
              </w:rPr>
              <w:t>First Target Distribution</w:t>
            </w:r>
          </w:p>
        </w:tc>
        <w:tc>
          <w:tcPr>
            <w:tcW w:w="12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pPr>
            <w:r>
              <w:rPr/>
              <w:t>up to $6.0375</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98</w:t>
            </w:r>
          </w:p>
        </w:tc>
        <w:tc>
          <w:tcPr>
            <w:tcW w:w="84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right"/>
              <w:rPr/>
            </w:pPr>
            <w:r>
              <w:rPr/>
              <w:t>  </w:t>
            </w:r>
          </w:p>
        </w:tc>
        <w:tc>
          <w:tcPr>
            <w:tcW w:w="84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Target Distribution</w:t>
            </w:r>
          </w:p>
        </w:tc>
        <w:tc>
          <w:tcPr>
            <w:tcW w:w="12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pPr>
            <w:r>
              <w:rPr/>
              <w:t>above $6.0375 up to $6.5625</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85</w:t>
            </w:r>
          </w:p>
        </w:tc>
        <w:tc>
          <w:tcPr>
            <w:tcW w:w="84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13</w:t>
            </w:r>
          </w:p>
        </w:tc>
        <w:tc>
          <w:tcPr>
            <w:tcW w:w="84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20"/>
              </w:rPr>
            </w:pPr>
            <w:r>
              <w:rPr>
                <w:rFonts w:ascii="Times New Roman" w:hAnsi="Times New Roman"/>
                <w:sz w:val="20"/>
              </w:rPr>
              <w:t>Third Target Distribution</w:t>
            </w:r>
          </w:p>
        </w:tc>
        <w:tc>
          <w:tcPr>
            <w:tcW w:w="12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pPr>
            <w:r>
              <w:rPr/>
              <w:t>above $6.5625 up to $7.875</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75</w:t>
            </w:r>
          </w:p>
        </w:tc>
        <w:tc>
          <w:tcPr>
            <w:tcW w:w="84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right"/>
              <w:rPr/>
            </w:pPr>
            <w:r>
              <w:rPr/>
              <w:t>23</w:t>
            </w:r>
          </w:p>
        </w:tc>
        <w:tc>
          <w:tcPr>
            <w:tcW w:w="84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2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pPr>
            <w:r>
              <w:rPr/>
              <w:t>above $7.875</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50</w:t>
            </w:r>
          </w:p>
        </w:tc>
        <w:tc>
          <w:tcPr>
            <w:tcW w:w="84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48</w:t>
            </w:r>
          </w:p>
        </w:tc>
        <w:tc>
          <w:tcPr>
            <w:tcW w:w="84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x398843_16"/>
      <w:bookmarkEnd w:id="18"/>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discussion of the material U.S. federal income tax considerations that may be relevant to prospective beneficial owners of our common units and, unless otherwise noted in the following discussion, is the opinion of Thompson Hine LLP, our U.S. counsel, insofar as it relates to matters of U.S. federal income tax law and legal conclusions with respect to those matters. The opinion of our counsel is dependent on the accuracy of representations made by us to them, including descriptions of our operations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upon provisions of the Internal Revenue Code of 1986, as amended (the Code), U.S. Treasury Regulations, and administrative rulings and court decisions, all as in effect or in existence on the date of this prospectus filing and all of which are subject to change or differing interpretations by the Internal Revenue Service (IRS) or a court, possibly with retroactive effect. Changes in these authorities may cause the tax consequences of ownership of our common units to vary substantially from the consequences described below. For example, the current U.S. Administration has set forth several tax proposals that would, if enacted, make significant changes to U.S. tax laws. Such proposals include, but are not limited to, an increase in the U.S. federal income tax rate for long-term capital gain for certain taxpayers with income in excess of a threshold amount. The U.S. Congress may consider, and could include, some or all of these proposals in connection with any tax legislation. It is unclear </w:t>
      </w:r>
    </w:p>
    <w:p>
      <w:pPr>
        <w:pStyle w:val="TextBody"/>
        <w:bidi w:val="0"/>
        <w:spacing w:before="0" w:after="0"/>
        <w:jc w:val="left"/>
        <w:rPr>
          <w:rFonts w:ascii="Times New Roman" w:hAnsi="Times New Roman"/>
          <w:sz w:val="20"/>
        </w:rPr>
      </w:pPr>
      <w:r>
        <w:rPr>
          <w:rFonts w:ascii="Times New Roman" w:hAnsi="Times New Roman"/>
          <w:sz w:val="20"/>
        </w:rPr>
        <w:t xml:space="preserve">whether these or similar changes will be enacted and, if enacted, how soon any such changes could take effect. Unless the context otherwise requires, references in this section to we, our or us are references to Navios Maritime Partners L.P. </w:t>
      </w:r>
    </w:p>
    <w:p>
      <w:pPr>
        <w:pStyle w:val="TextBody"/>
        <w:bidi w:val="0"/>
        <w:spacing w:before="240" w:after="0"/>
        <w:jc w:val="left"/>
        <w:rPr>
          <w:rFonts w:ascii="Times New Roman" w:hAnsi="Times New Roman"/>
          <w:sz w:val="20"/>
        </w:rPr>
      </w:pPr>
      <w:r>
        <w:rPr>
          <w:rFonts w:ascii="Times New Roman" w:hAnsi="Times New Roman"/>
          <w:sz w:val="20"/>
        </w:rPr>
        <w:t>The following discussion applies only to beneficial owners of common units that own the common units as capital assets (generally, property held for investment purposes). The following discussion does not address all aspects of U.S. federal income taxation that may be important to particular beneficial owners of common units in light of their individual circumstances, such as (i) beneficial owners of common units subject to special tax rules (</w:t>
      </w:r>
      <w:r>
        <w:rPr>
          <w:rFonts w:ascii="Times New Roman" w:hAnsi="Times New Roman"/>
          <w:i/>
          <w:sz w:val="20"/>
        </w:rPr>
        <w:t>e.g</w:t>
      </w:r>
      <w:r>
        <w:rPr>
          <w:rFonts w:ascii="Times New Roman" w:hAnsi="Times New Roman"/>
          <w:sz w:val="20"/>
        </w:rPr>
        <w:t xml:space="preserve">., banks or other financial institutions, real estate investment trusts, regulated investment companies, insurance companies, broker-dealers, traders that elect to mark-to-market for U.S. federal income tax purposes, tax-exempt organizations and retirement plans, individual retirement accounts and tax-deferred accounts, or former citizens or long-term residents of the United States), beneficial owners that will hold the common units as part of a straddle, hedge, conversion, constructive sale, or other integrated transaction for U.S. federal income tax purposes, or beneficial owners that are accrual method taxpayers for U.S. federal income tax purposes and are required to accelerate the recognition of any item of gross income with respect to the common units as a result of such income being recognized on an applicable financial statement, (ii) partnerships or other entities classified as partnerships for U.S. federal income tax purposes or their partners, (iii) U.S. Holders (as defined below) that have a functional currency other than the U.S. dollar or (iv) beneficial owners of common units that own 2.0% or more (by vote or value) of our common units (including beneficial owners entitled to a dividends received deduction with respect to our common units), all of whom may be subject to tax rules that differ significantly from those summarized below. If a partnership or other entity classified as a partnership for U.S. federal income tax purposes holds our common units, the tax treatment of its partners generally will depend upon the status of the partner, the activities of the partnership and certain determinations made at the partner level. If you are a partner in a partnership holding our common units, you should consult your own tax advisor regarding the tax consequences to you of the partnerships ownership of our common units. </w:t>
      </w:r>
    </w:p>
    <w:p>
      <w:pPr>
        <w:pStyle w:val="TextBody"/>
        <w:bidi w:val="0"/>
        <w:spacing w:before="240" w:after="0"/>
        <w:jc w:val="left"/>
        <w:rPr>
          <w:rFonts w:ascii="Times New Roman" w:hAnsi="Times New Roman"/>
          <w:sz w:val="20"/>
        </w:rPr>
      </w:pPr>
      <w:r>
        <w:rPr>
          <w:rFonts w:ascii="Times New Roman" w:hAnsi="Times New Roman"/>
          <w:sz w:val="20"/>
        </w:rPr>
        <w:t xml:space="preserve">No ruling has been obtained or will be requested from the IRS, regarding any matter affecting us or holders of our common units. The opinions and statements made herein may be challenged by the IRS and, if so challenged, may not be sustained upon review in a court.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contain information regarding any state or local, estate, gift or alternative minimum tax considerations concerning the ownership or disposition of common units. </w:t>
      </w:r>
    </w:p>
    <w:p>
      <w:pPr>
        <w:pStyle w:val="TextBody"/>
        <w:bidi w:val="0"/>
        <w:spacing w:before="240" w:after="0"/>
        <w:jc w:val="left"/>
        <w:rPr>
          <w:rFonts w:ascii="Times New Roman" w:hAnsi="Times New Roman"/>
          <w:b/>
          <w:sz w:val="20"/>
        </w:rPr>
      </w:pPr>
      <w:r>
        <w:rPr>
          <w:rFonts w:ascii="Times New Roman" w:hAnsi="Times New Roman"/>
          <w:b/>
          <w:sz w:val="20"/>
        </w:rPr>
        <w:t xml:space="preserve">Each prospective beneficial owner of our common units should consult its own tax advisor regarding the U.S. federal, state, local, and other tax consequences of the ownership or disposition of common units. </w:t>
      </w:r>
    </w:p>
    <w:p>
      <w:pPr>
        <w:pStyle w:val="TextBody"/>
        <w:bidi w:val="0"/>
        <w:spacing w:before="240" w:after="0"/>
        <w:jc w:val="left"/>
        <w:rPr>
          <w:rFonts w:ascii="Times New Roman" w:hAnsi="Times New Roman"/>
          <w:b/>
          <w:sz w:val="20"/>
        </w:rPr>
      </w:pPr>
      <w:r>
        <w:rPr>
          <w:rFonts w:ascii="Times New Roman" w:hAnsi="Times New Roman"/>
          <w:b/>
          <w:sz w:val="20"/>
        </w:rPr>
        <w:t xml:space="preserve">Election to Be Treated as a Corporation </w:t>
      </w:r>
    </w:p>
    <w:p>
      <w:pPr>
        <w:pStyle w:val="TextBody"/>
        <w:bidi w:val="0"/>
        <w:spacing w:before="240" w:after="0"/>
        <w:jc w:val="left"/>
        <w:rPr>
          <w:rFonts w:ascii="Times New Roman" w:hAnsi="Times New Roman"/>
          <w:sz w:val="20"/>
        </w:rPr>
      </w:pPr>
      <w:r>
        <w:rPr>
          <w:rFonts w:ascii="Times New Roman" w:hAnsi="Times New Roman"/>
          <w:sz w:val="20"/>
        </w:rPr>
        <w:t xml:space="preserve">We have elected to be treated as a corporation for U.S. federal income tax purposes. Consequently, among other things, U.S. Holders (as defined below) will not directly be subject to U.S. federal income tax on their shares of our income, but rather will be subject to U.S. federal income tax on distributions received from us and dispositions of common units as described below. For a further discussion of our treatment for U.S. federal income tax purposes, please see pages 36-38, 72-74, and 108 to 115 of our Annual Report on Form 20-F for the year ended December 31, 2022, which is incorporated by reference into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U.S. Federal Income Taxation of U.S. Holders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the term U.S. Holder means a beneficial owner of our common units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an individual U.S. citizen or resident (as determined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that is classified as a corporation for U.S. federal income tax purposes) organized under the laws of the United States or any of its political subdivisions,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 a court within the United States is able to exercise primary supervision over the administration of the trust and one or more United States persons (as defined in the Code) have the authority to control all substantial decisions of the trust or (ii) the trust has a valid election in effect under current U.S. Treasury Regulations to be treated as a United States person.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of the rules applicable to a passive foreign investment company (a PFIC), any distributions to a U.S. Holder made by us with respect to our common units generally will constitute dividends, which will be taxable as ordinary income or qualified dividend income as described in more detail below, to the extent of our current and accumulated earnings and profits, as determined under U.S. federal income tax principles. Distributions in excess of our current and accumulated earnings and profits will be treated first as a non-taxable return of capital to the extent of the U.S. Holders tax basis in its common units on a dollar-for-dollar basis, and thereafter as capital gain, which will be either long-term or short-term capital gain depending upon whether the U.S. Holder held the common units for more than one year. U.S. Holders that are corporations generally will not be entitled to claim a dividends received deduction with respect to distributions they receive from us. Dividends received with respect to the common units will be treated as foreign source income and generally will be treated as passive category income for U.S. foreign tax credit purposes. </w:t>
      </w:r>
    </w:p>
    <w:p>
      <w:pPr>
        <w:pStyle w:val="TextBody"/>
        <w:bidi w:val="0"/>
        <w:spacing w:before="240" w:after="0"/>
        <w:jc w:val="left"/>
        <w:rPr>
          <w:rFonts w:ascii="Times New Roman" w:hAnsi="Times New Roman"/>
          <w:sz w:val="20"/>
        </w:rPr>
      </w:pPr>
      <w:r>
        <w:rPr>
          <w:rFonts w:ascii="Times New Roman" w:hAnsi="Times New Roman"/>
          <w:sz w:val="20"/>
        </w:rPr>
        <w:t xml:space="preserve">Dividends received with respect to our common units by a U.S. Holder who is an individual, trust or estate (a non-corporate U.S. Holder) generally will be treated as qualified dividend income that is taxable to such non-corporate U.S. Holder at preferential capital gain tax rates, provided that: (i) subject to the possibility that our common units may be delisted by a qualifying exchange, our common units are traded on an established securities market in the United States (such as the NYSE where our common units are traded) and are readily tradeable on such an exchange; (ii) we are not a PFIC for the taxable year during which the dividend is paid or the immediately preceding taxable year (which we do not believe we are, have been or will be, as discussed below); (iii) the non-corporate U.S. Holder has owned the common units for more than 60 days during the 121-day period beginning 60 days before the date on which the common units become ex-dividend (and has not entered into certain risk limiting transactions with respect to such common units); and (iv) the non-corporate U.S. Holder is not under an obligation to make related payments with respect to positions in substantially similar or related property. Any dividends paid on our common units that are not eligible for these preferential rates will be taxed as ordinary income to a non-corporate U.S. Holder. In addition, a 3.8% tax may apply to certain investment income. </w:t>
      </w:r>
      <w:r>
        <w:rPr>
          <w:rFonts w:ascii="Times New Roman" w:hAnsi="Times New Roman"/>
          <w:i/>
          <w:sz w:val="20"/>
        </w:rPr>
        <w:t>See Medicare Tax</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Special rules may apply to any amounts received in respect of our common units that are treated as extraordinary dividends. In general, an extraordinary dividend is a dividend with respect to a common unit that is equal to or in excess of 10.0% of a U.S. Holders adjusted tax basis (or fair market value upon the U.S. Holders election) in such common unit. In addition, extraordinary dividends include dividends received within a one-year period that, in the aggregate, equal or exceed 20.0% of a U.S. Holders adjusted tax basis (or fair market value) in a common unit. If we pay an extraordinary dividend on our common units that is treated as qualified dividend income, then any loss recognized by a non-corporate U.S. Holder from the sale or exchange of such common units will be treated as long-term capital loss to the extent of the amount of such dividend.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or Other Disposition of Common Units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of PFICs below, a U.S. Holder generally will recognize capital gain or loss upon a sale, exchange or other disposition of our common units in an amount equal to the difference between the amount realized by the U.S. Holder from such sale, exchange or other disposition and the U.S. Holders adjusted tax basis in such units. The U.S. Holders initial tax basis in the common units generally will be the U.S. Holders purchase price for the common units and that tax basis will be reduced (but not below zero) by the amount of any distributions on the common units that are treated as non-taxable returns of capital (as discussed under Distributions above). Such gain or loss will be treated as long-term capital gain or loss if the U.S. Holders holding period is greater than one year at the time of the sale, exchange or other disposition. </w:t>
      </w:r>
    </w:p>
    <w:p>
      <w:pPr>
        <w:pStyle w:val="TextBody"/>
        <w:bidi w:val="0"/>
        <w:spacing w:before="240" w:after="0"/>
        <w:jc w:val="left"/>
        <w:rPr>
          <w:rFonts w:ascii="Times New Roman" w:hAnsi="Times New Roman"/>
          <w:sz w:val="20"/>
        </w:rPr>
      </w:pPr>
      <w:r>
        <w:rPr>
          <w:rFonts w:ascii="Times New Roman" w:hAnsi="Times New Roman"/>
          <w:sz w:val="20"/>
        </w:rPr>
        <w:t xml:space="preserve">A corporate U.S. Holders capital gains, long-term and short-term, are taxed at ordinary income tax rates. If a corporate U.S. Holder recognizes a loss upon the disposition of our common units, such U.S. Holder is limited to using the loss to offset other capital gain. If a corporate U.S. Holder has no other capital gain in the tax year of the loss, it may carry the capital loss back three years and forward five years. </w:t>
      </w:r>
    </w:p>
    <w:p>
      <w:pPr>
        <w:pStyle w:val="TextBody"/>
        <w:bidi w:val="0"/>
        <w:spacing w:before="240" w:after="0"/>
        <w:jc w:val="left"/>
        <w:rPr>
          <w:rFonts w:ascii="Times New Roman" w:hAnsi="Times New Roman"/>
          <w:sz w:val="20"/>
        </w:rPr>
      </w:pPr>
      <w:r>
        <w:rPr>
          <w:rFonts w:ascii="Times New Roman" w:hAnsi="Times New Roman"/>
          <w:sz w:val="20"/>
        </w:rPr>
        <w:t>Long-term capital gains of non-corporate U.S. Holders are subject to the favorable tax rate of a maximum of 20%. In addition, a 3.8% tax may apply to certain investment income. See </w:t>
      </w:r>
      <w:r>
        <w:rPr>
          <w:rFonts w:ascii="Times New Roman" w:hAnsi="Times New Roman"/>
          <w:i/>
          <w:sz w:val="20"/>
        </w:rPr>
        <w:t>Medicare Tax</w:t>
      </w:r>
      <w:r>
        <w:rPr>
          <w:rFonts w:ascii="Times New Roman" w:hAnsi="Times New Roman"/>
          <w:sz w:val="20"/>
        </w:rPr>
        <w:t xml:space="preserve"> below. A non-corporate U.S. Holder may deduct a capital loss resulting from a disposition of our common units to the extent of capital gains plus up to $3,000 ($1,500 for married individuals filing separate tax returns) annually and may carry forward a capital loss indefinitely.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PFIC Status and Significant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In general, we will be treated as a PFIC with respect to a U.S. Holder if, for any taxable year in which the holder held our common units,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75.0% of our gross income (including the gross income of our vessel-owning subsidiaries) for such taxable year consists of passive income (e.g., dividends, interest, capital gains and rents derived other than in the active conduct of a rental business),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50.0% of the average value of the assets held by us (including the assets of our vessel-owning subsidiaries) during such taxable year produce, or are held for the production of, passive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Income earned, or deemed earned, by us in connection with the performance of services would not constitute passive income. By contrast, rental income generally would constitute passive income unless we were treated as deriving our rental income in the active conduct of a trade or business under the applicable rules. </w:t>
      </w:r>
    </w:p>
    <w:p>
      <w:pPr>
        <w:pStyle w:val="TextBody"/>
        <w:bidi w:val="0"/>
        <w:spacing w:before="240" w:after="0"/>
        <w:jc w:val="left"/>
        <w:rPr>
          <w:rFonts w:ascii="Times New Roman" w:hAnsi="Times New Roman"/>
          <w:sz w:val="20"/>
        </w:rPr>
      </w:pPr>
      <w:r>
        <w:rPr>
          <w:rFonts w:ascii="Times New Roman" w:hAnsi="Times New Roman"/>
          <w:sz w:val="20"/>
        </w:rPr>
        <w:t xml:space="preserve">Based on our current and projected methods of operations, and an opinion of counsel, we believe that we will not be a PFIC with respect to any taxable year. Our U.S. counsel, Thompson Hine LLP, is of the opinion that (1) the income we receive from the time chartering activities and assets engaged in generating such income should not be treated as passive income or assets, respectively, and (2) so long as our income from time charters exceeds 25.0% of our gross income for each taxable year after our initial taxable year and the value of our vessels contracted under time charters exceeds 50.0% of the average value of our assets for each taxable year after our initial taxable year, we should not be a PFIC. This opinion is based on representations and projections provided to our counsel by us regarding our assets, income and charters, and its validity is conditioned on the accuracy of such representations and projections. </w:t>
      </w:r>
    </w:p>
    <w:p>
      <w:pPr>
        <w:pStyle w:val="TextBody"/>
        <w:bidi w:val="0"/>
        <w:spacing w:before="240" w:after="0"/>
        <w:jc w:val="left"/>
        <w:rPr>
          <w:rFonts w:ascii="Times New Roman" w:hAnsi="Times New Roman"/>
          <w:sz w:val="20"/>
        </w:rPr>
      </w:pPr>
      <w:r>
        <w:rPr>
          <w:rFonts w:ascii="Times New Roman" w:hAnsi="Times New Roman"/>
          <w:sz w:val="20"/>
        </w:rPr>
        <w:t xml:space="preserve">Our counsels opinion is based principally on their conclusion that, for purposes of determining whether we are a PFIC, the gross income we derive or are deemed to derive from the time chartering activities of our wholly-owned subsidiaries should constitute services income, rather than rental income. Correspondingly, such income should not constitute passive income, and the assets that we or our subsidiaries own and operate in connection with the production of such income, in particular, the vessels we or our subsidiaries own that are subject to time charters, should not constitute passive assets for purposes of determining whether we are or have been a PFIC. We expect that all of the vessels in our fleet will be engaged in time chartering activities and intend to treat our income from those activities as non-passive income, and the vessels engaged in those activities as non-passive assets, for PFIC purposes. </w:t>
      </w:r>
    </w:p>
    <w:p>
      <w:pPr>
        <w:pStyle w:val="TextBody"/>
        <w:bidi w:val="0"/>
        <w:spacing w:before="240" w:after="0"/>
        <w:jc w:val="left"/>
        <w:rPr>
          <w:rFonts w:ascii="Times New Roman" w:hAnsi="Times New Roman"/>
          <w:sz w:val="20"/>
        </w:rPr>
      </w:pPr>
      <w:r>
        <w:rPr>
          <w:rFonts w:ascii="Times New Roman" w:hAnsi="Times New Roman"/>
          <w:sz w:val="20"/>
        </w:rPr>
        <w:t xml:space="preserve">Our counsel has advised us that there is a significant amount of legal authority consisting of the Code, legislative history, IRS pronouncements and rulings supporting our position that the income from our time chartering activities constitutes services income (rather than rental income). There is, however, no direct legal authority under the PFIC rules addressing whether income from time chartering activities is services income or rental income. Moreover, in a case not interpreting the PFIC rules, </w:t>
      </w:r>
      <w:r>
        <w:rPr>
          <w:rFonts w:ascii="Times New Roman" w:hAnsi="Times New Roman"/>
          <w:i/>
          <w:sz w:val="20"/>
        </w:rPr>
        <w:t>Tidewater Inc. v. United States</w:t>
      </w:r>
      <w:r>
        <w:rPr>
          <w:rFonts w:ascii="Times New Roman" w:hAnsi="Times New Roman"/>
          <w:sz w:val="20"/>
        </w:rPr>
        <w:t xml:space="preserve">, 565 F.3d 299 (5th Cir. 2009), the Fifth Circuit held that the vessel time charters at issue generated predominantly rental income rather than services income. However, the IRS stated in an Action on Decision (AOD 2010-001) that it disagrees with, and will not acquiesce to, the way that the rental versus services framework was applied to the facts in the </w:t>
      </w:r>
      <w:r>
        <w:rPr>
          <w:rFonts w:ascii="Times New Roman" w:hAnsi="Times New Roman"/>
          <w:i/>
          <w:sz w:val="20"/>
        </w:rPr>
        <w:t>Tidewater</w:t>
      </w:r>
      <w:r>
        <w:rPr>
          <w:rFonts w:ascii="Times New Roman" w:hAnsi="Times New Roman"/>
          <w:sz w:val="20"/>
        </w:rPr>
        <w:t xml:space="preserve"> decision, and in its discussion stated that the time charters at issue in </w:t>
      </w:r>
      <w:r>
        <w:rPr>
          <w:rFonts w:ascii="Times New Roman" w:hAnsi="Times New Roman"/>
          <w:i/>
          <w:sz w:val="20"/>
        </w:rPr>
        <w:t>Tidewater</w:t>
      </w:r>
      <w:r>
        <w:rPr>
          <w:rFonts w:ascii="Times New Roman" w:hAnsi="Times New Roman"/>
          <w:sz w:val="20"/>
        </w:rPr>
        <w:t xml:space="preserve"> would be treated as producing services income for PFIC purposes. The IRSs AOD, however, is an administrative action that cannot be relied upon or otherwise cited as precedent by taxpayers. </w:t>
      </w:r>
    </w:p>
    <w:p>
      <w:pPr>
        <w:pStyle w:val="TextBody"/>
        <w:bidi w:val="0"/>
        <w:spacing w:before="240" w:after="0"/>
        <w:jc w:val="left"/>
        <w:rPr>
          <w:rFonts w:ascii="Times New Roman" w:hAnsi="Times New Roman"/>
          <w:sz w:val="20"/>
        </w:rPr>
      </w:pPr>
      <w:r>
        <w:rPr>
          <w:rFonts w:ascii="Times New Roman" w:hAnsi="Times New Roman"/>
          <w:sz w:val="20"/>
        </w:rPr>
        <w:t xml:space="preserve">The opinion of our counsel is not binding on the IRS or any court. Thus, while we have received an opinion of our counsel in support of our position, there is a possibility that the IRS or a court could disagree with this position and the opinion of our counsel. In addition, although we intend to conduct our affairs in a manner to avoid being classified as a PFIC with respect to any taxable year, we cannot assure you that the nature of our operations will not change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As discussed more fully below, if we were to be treated as a PFIC for any taxable year in which a U.S. Holder owned our common units, the U.S. Holder would be subject to different taxation rules depending on whether the U.S. Holder makes an election to treat us as a Qualified Electing Fund, which we refer to as a QEF election. As an alternative to making a QEF election, the U.S. Holder may be able to make a mark-to-market election with respect to our common units, as discussed below. In addition, if we were treated as a PFIC for any taxable year in which a U.S. Holder owned our common units, the U.S. Holder would be required to file IRS Form 8621 with the U.S. Holders U.S. federal income tax return for each year to report the U.S. Holders ownership of such common units. In the event a U.S. Holder does not file IRS Form 8621, the statute of limitations on the assessment and collection of U.S. federal income taxes of such U.S. Holder for the related tax year will not close before the date that is three years after the date on which such report is filed.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 should also be noted that, if we were treated as a PFIC for any taxable year in which a U.S. Holder owned our common units and any of our non-U.S. subsidiaries were also a PFIC, the U.S. Holder would be treated as owning a proportionate amount (by value) of the shares of the lower-tier PFIC for purposes of the application of these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U.S. Holders Making a Timely QEF Election </w:t>
      </w:r>
    </w:p>
    <w:p>
      <w:pPr>
        <w:pStyle w:val="TextBody"/>
        <w:bidi w:val="0"/>
        <w:spacing w:before="120" w:after="0"/>
        <w:jc w:val="left"/>
        <w:rPr>
          <w:rFonts w:ascii="Times New Roman" w:hAnsi="Times New Roman"/>
          <w:sz w:val="20"/>
        </w:rPr>
      </w:pPr>
      <w:r>
        <w:rPr>
          <w:rFonts w:ascii="Times New Roman" w:hAnsi="Times New Roman"/>
          <w:sz w:val="20"/>
        </w:rPr>
        <w:t xml:space="preserve">If we were to be treated as a PFIC for any taxable year, and a U.S. Holder makes a timely QEF election (any such U.S. Holder, an Electing Holder), the Electing Holder must report for U.S. federal income tax purposes its pro rata share of our ordinary earnings and net capital gain, if any, for our taxable year that ends with or within the Electing Holders taxable year, regardless of whether or not the Electing Holder received any distributions from us in that year. Such income inclusions would not be eligible for the preferential tax rates applicable to qualified dividend income. The Electing Holders adjusted tax basis in our common units will be increased to reflect taxed but undistributed earnings and profits. Distributions to the Electing Holder of our earnings and profits that were previously taxed will result in a corresponding reduction in the Electing Holders adjusted tax basis in our common units and will not be taxed again once distributed. The Electing Holder would not, however, be entitled to a deduction for its pro rata share of any losses that we incur with respect to any year. An Electing Holder generally will recognize capital gain or loss on the sale, exchange or other disposition of our common units. </w:t>
      </w:r>
    </w:p>
    <w:p>
      <w:pPr>
        <w:pStyle w:val="TextBody"/>
        <w:bidi w:val="0"/>
        <w:spacing w:before="240" w:after="0"/>
        <w:jc w:val="left"/>
        <w:rPr>
          <w:rFonts w:ascii="Times New Roman" w:hAnsi="Times New Roman"/>
          <w:sz w:val="20"/>
        </w:rPr>
      </w:pPr>
      <w:r>
        <w:rPr>
          <w:rFonts w:ascii="Times New Roman" w:hAnsi="Times New Roman"/>
          <w:sz w:val="20"/>
        </w:rPr>
        <w:t>Even if a U.S. Holder makes a QEF election for one of our taxable years, if we were a PFIC for a prior taxable year during which the U.S. Holder owned our common units and for which the U.S. Holder did not make a timely QEF election, the U.S. Holder would also be subject to the more adverse rules described below under </w:t>
      </w:r>
      <w:r>
        <w:rPr>
          <w:rFonts w:ascii="Times New Roman" w:hAnsi="Times New Roman"/>
          <w:i/>
          <w:sz w:val="20"/>
        </w:rPr>
        <w:t>Taxation of U.S. Holders Not Making a Timely QEF or Mark-to-Market Election.</w:t>
      </w:r>
      <w:r>
        <w:rPr>
          <w:rFonts w:ascii="Times New Roman" w:hAnsi="Times New Roman"/>
          <w:sz w:val="20"/>
        </w:rPr>
        <w:t xml:space="preserve"> However, under certain circumstances, a U.S. Holder may be permitted to make a retroactive QEF election with respect to us for any open taxable years in the U.S. Holders holding period for our common units in which we are treated as a PFIC. Additionally, to the extent that any of our subsidiaries is a PFIC, a U.S. Holders QEF election with respect to us would not be effective with respect to the U.S. Holders deemed ownership of the stock of such subsidiary and a separate QEF election with respect to such subsidiary would be required. </w:t>
      </w:r>
    </w:p>
    <w:p>
      <w:pPr>
        <w:pStyle w:val="TextBody"/>
        <w:bidi w:val="0"/>
        <w:spacing w:before="240" w:after="0"/>
        <w:jc w:val="left"/>
        <w:rPr>
          <w:rFonts w:ascii="Times New Roman" w:hAnsi="Times New Roman"/>
          <w:sz w:val="20"/>
        </w:rPr>
      </w:pPr>
      <w:r>
        <w:rPr>
          <w:rFonts w:ascii="Times New Roman" w:hAnsi="Times New Roman"/>
          <w:sz w:val="20"/>
        </w:rPr>
        <w:t xml:space="preserve">A U.S. Holder makes a QEF election with respect to any year that we are a PFIC by filing IRS Form 8621 with the U.S. Holders U.S. federal income tax return. If, contrary to our expectations, we were to determine that we are treated as a PFIC for any taxable year, we would notify all U.S. Holders and would provide all necessary information to any U.S. Holder that requests such information in order to make the QEF election described above with respect to us and the relevant subsidiaries. A QEF election would not apply to any taxable year for which we are not a PFIC, but would remain in effect with respect to any subsequent taxable year for which we are a PFIC, unless the IRS consents to the revocation of the election.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U.S. Holders Making a Mark-to-Market Election </w:t>
      </w:r>
    </w:p>
    <w:p>
      <w:pPr>
        <w:pStyle w:val="TextBody"/>
        <w:bidi w:val="0"/>
        <w:spacing w:before="120" w:after="0"/>
        <w:jc w:val="left"/>
        <w:rPr>
          <w:rFonts w:ascii="Times New Roman" w:hAnsi="Times New Roman"/>
          <w:sz w:val="20"/>
        </w:rPr>
      </w:pPr>
      <w:r>
        <w:rPr>
          <w:rFonts w:ascii="Times New Roman" w:hAnsi="Times New Roman"/>
          <w:sz w:val="20"/>
        </w:rPr>
        <w:t xml:space="preserve">If we were to be treated as a PFIC for any taxable year and, subject to the possibility that our common units may be delisted by a qualifying exchange, our common units were treated as marketable stock, then, as an alternative to making a QEF election, a U.S. Holder would be allowed to make a mark-to-market election with respect to our common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U.S. Holders common units at the end of the taxable year over the holders adjusted tax basis in the common units. The U.S. Holder also would be permitted an ordinary loss in respect of the excess, if any, of the U.S. Holders adjusted tax basis in the common units over the fair market value thereof at the end of the taxable year, but only to the extent of the net amount previously included in income as a result of the mark-to-market election. A U.S. Holders tax basis in the U.S. Holders common units would be adjusted to reflect any such income or loss recognized. Gain recognized on the sale, exchange or other disposition of our common units would be treated as ordinary income, and any loss recognized on the sale, exchange or other disposition of the common units would be treated as ordinary loss to the extent that such loss does not exceed the net mark-to-market gains previously included in income by the U.S. Holder. A mark-to-market election would not apply to our common units owned by a U.S. Holder in any taxable year during which we are not a PFIC, but would remain in effect with respect to any subsequent taxable year for which we are a PFIC, unless our common units are no longer treated as marketable stock or the IRS consents to the revocation of the election. </w:t>
      </w:r>
    </w:p>
    <w:p>
      <w:pPr>
        <w:pStyle w:val="TextBody"/>
        <w:bidi w:val="0"/>
        <w:spacing w:before="240" w:after="0"/>
        <w:jc w:val="left"/>
        <w:rPr>
          <w:rFonts w:ascii="Times New Roman" w:hAnsi="Times New Roman"/>
          <w:sz w:val="20"/>
        </w:rPr>
      </w:pPr>
      <w:r>
        <w:rPr>
          <w:rFonts w:ascii="Times New Roman" w:hAnsi="Times New Roman"/>
          <w:sz w:val="20"/>
        </w:rPr>
        <w:t xml:space="preserve">Even if a U.S. Holder makes a mark-to-market election for one of our taxable years, if we were a PFIC for a prior taxable during which the U.S. Holder owned our common units and for which the U.S. Holder did not make a timely mark-to-market election, the U.S. Holder would also be subject to the more adverse rules described below under </w:t>
      </w:r>
      <w:r>
        <w:rPr>
          <w:rFonts w:ascii="Times New Roman" w:hAnsi="Times New Roman"/>
          <w:i/>
          <w:sz w:val="20"/>
        </w:rPr>
        <w:t>Taxation of U.S. Holders Not Making a Timely QEF or Mark-to-Market Election.</w:t>
      </w:r>
      <w:r>
        <w:rPr>
          <w:rFonts w:ascii="Times New Roman" w:hAnsi="Times New Roman"/>
          <w:sz w:val="20"/>
        </w:rPr>
        <w:t xml:space="preserve"> Additionally, to the extent that any of our subsidiaries is a PFIC, a mark-to-market election with respect to our common units would not apply to the U.S. Holders deemed ownership of the stock of such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Taxation of U.S. Holders Not Making a Timely QEF or Mark-to-Market Election </w:t>
      </w:r>
    </w:p>
    <w:p>
      <w:pPr>
        <w:pStyle w:val="TextBody"/>
        <w:bidi w:val="0"/>
        <w:spacing w:before="120" w:after="0"/>
        <w:jc w:val="left"/>
        <w:rPr>
          <w:rFonts w:ascii="Times New Roman" w:hAnsi="Times New Roman"/>
          <w:sz w:val="20"/>
        </w:rPr>
      </w:pPr>
      <w:r>
        <w:rPr>
          <w:rFonts w:ascii="Times New Roman" w:hAnsi="Times New Roman"/>
          <w:sz w:val="20"/>
        </w:rPr>
        <w:t xml:space="preserve">If we were to be treated as a PFIC for any taxable year, a U.S. Holder who does not make either a timely QEF election or a timely mark-to-market election for that year (i.e., the taxable year in which the U.S. Holders holding period commences), whom we refer to as a Non-Electing Holder, would be subject to special rules resulting in increased tax liability with respect to (1) any excess distribution ( </w:t>
      </w:r>
      <w:r>
        <w:rPr>
          <w:rFonts w:ascii="Times New Roman" w:hAnsi="Times New Roman"/>
          <w:i/>
          <w:sz w:val="20"/>
        </w:rPr>
        <w:t>i.e.</w:t>
      </w:r>
      <w:r>
        <w:rPr>
          <w:rFonts w:ascii="Times New Roman" w:hAnsi="Times New Roman"/>
          <w:sz w:val="20"/>
        </w:rPr>
        <w:t xml:space="preserve"> , the portion of any distributions received by the Non-Electing Holder on our common units in a taxable year in excess of 125.0% of the average annual distributions received by the Non-Electing Holder in the three preceding taxable years, or, if shorter, the Non-Electing Holders holding period for the common units), and (2) any gain realized on the sale, exchange or other disposition of our common units. Under these special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excess distribution and any gain would be allocated ratably over the Non-Electing Holders aggregate holding period for the common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the current taxable year and any year prior to the year we were first treated as a PFIC with respect to the Non-Electing Holder would be taxed as ordinary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were treated as a PFIC for any taxable year and a Non-Electing Holder who is an individual dies while owning our common units, such holders successor generally would not receive a step-up in tax basis with respect to such common units. Additionally, to the extent that any of our subsidiaries is a PFIC, the foregoing consequences would apply to the U.S. Holders deemed receipt of any excess distribution on, or gain deemed realized on the disposition of, the stock of such subsidiary deemed owned by the U.S. Holder. </w:t>
      </w:r>
    </w:p>
    <w:p>
      <w:pPr>
        <w:pStyle w:val="TextBody"/>
        <w:bidi w:val="0"/>
        <w:spacing w:before="240" w:after="0"/>
        <w:jc w:val="left"/>
        <w:rPr>
          <w:rFonts w:ascii="Times New Roman" w:hAnsi="Times New Roman"/>
          <w:sz w:val="20"/>
        </w:rPr>
      </w:pPr>
      <w:r>
        <w:rPr>
          <w:rFonts w:ascii="Times New Roman" w:hAnsi="Times New Roman"/>
          <w:sz w:val="20"/>
        </w:rPr>
        <w:t xml:space="preserve">In January 2022, the U.S. Department of Treasury issued proposed regulations concerning PFICs. If the proposed regulations are finalized, they may affect eligibility requirements to make a QEF election or a mark-to-market election.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Controlled Foreign Corporation </w:t>
      </w:r>
    </w:p>
    <w:p>
      <w:pPr>
        <w:pStyle w:val="TextBody"/>
        <w:bidi w:val="0"/>
        <w:spacing w:before="120" w:after="0"/>
        <w:jc w:val="left"/>
        <w:rPr>
          <w:rFonts w:ascii="Times New Roman" w:hAnsi="Times New Roman"/>
          <w:sz w:val="20"/>
        </w:rPr>
      </w:pPr>
      <w:r>
        <w:rPr>
          <w:rFonts w:ascii="Times New Roman" w:hAnsi="Times New Roman"/>
          <w:sz w:val="20"/>
        </w:rPr>
        <w:t xml:space="preserve">Although we believe that Navios Partners was not a controlled foreign corporation (a CFC) as of December 31, 2022, or at any time during 2022, tax rules enacted by the 2017 Tax Cuts and Jobs Act, including the imposition of so-called downward attribution for purposes of determining whether a non-U.S. corporation is a CFC, may result in Navios Partners being treated as a CFC for U.S. federal income tax purposes in the future, together with certain of its non-U.S. subsidiaries that are treated as a corporation for U.S. federal tax purposes (a CFC Sub). As of December 31, 2022, Navios Holdings beneficially owns 10.5% of our total number of outstanding common units both directly and indirectly through wholly owned subsidiaries. Through downward attribution, U.S. subsidiaries of Navios Holdings are treated as constructive owners of these equity interests for purposes of determining whether we (and a CFC Sub) are a CFC. If, in the future, U.S. Holders (including U.S. subsidiaries of Navios Holdings, as discussed above) that each own 10% or more of our equity (by vote or value) would own in the aggregate more than 50% of our equity (by vote or value), in each case, directly, indirectly or constructively, we (and a CFC Sub) would become a CFC. </w:t>
      </w:r>
    </w:p>
    <w:p>
      <w:pPr>
        <w:pStyle w:val="TextBody"/>
        <w:bidi w:val="0"/>
        <w:spacing w:before="240" w:after="0"/>
        <w:jc w:val="left"/>
        <w:rPr>
          <w:rFonts w:ascii="Times New Roman" w:hAnsi="Times New Roman"/>
          <w:sz w:val="20"/>
        </w:rPr>
      </w:pPr>
      <w:r>
        <w:rPr>
          <w:rFonts w:ascii="Times New Roman" w:hAnsi="Times New Roman"/>
          <w:sz w:val="20"/>
        </w:rPr>
        <w:t>The U.S. federal income tax consequences of U.S. Holders who at all times own less than 10% of our equity, directly, indirectly, and constructively, should not be affected even if we (and a CFC Sub) become a CFC. However, if we (and a CFC Sub) become a CFC, any U.S. Holder who owns 10% or more of our equity (by vote or value), directly or indirectly, should be subject to U.S. federal income tax on a current basis on its pro rata share of our (and a CFC Subs) so-called subpart F income, global intangible low-taxed income (GILTI), and any investment in earnings in U.S. property, in addition to being subject to U.S. federal income tax reporting requirements. Income from our time chartering activities could constitute subpart F income if it were derived from passive rental activities. But, Thompson Hines opinion that the income we earn from our time chartering activities should not be treated as passive income is based principally on their conclusion that such income should constitute services income, rather than rental income (</w:t>
      </w:r>
      <w:r>
        <w:rPr>
          <w:rFonts w:ascii="Times New Roman" w:hAnsi="Times New Roman"/>
          <w:i/>
          <w:sz w:val="20"/>
        </w:rPr>
        <w:t>see U.S. Federal Income Taxation of U.S. HoldersPFIC Status and Significant Tax Consequences</w:t>
      </w:r>
      <w:r>
        <w:rPr>
          <w:rFonts w:ascii="Times New Roman" w:hAnsi="Times New Roman"/>
          <w:sz w:val="20"/>
        </w:rPr>
        <w:t>). Although we believe that the income we earn from our time chartering activities should not be treated as subpart F income, such U.S. Holder may be subject to U.S. federal income tax on such income under the GILTI rules. If, contrary, to our belief discussed above, the income we earn from our time chartering activities were treated as subpart F income, it is unclear whether such income would nonetheless be exempted from U.S. federal income tax for so long as we qualify for the Section 883 exemption (</w:t>
      </w:r>
      <w:r>
        <w:rPr>
          <w:rFonts w:ascii="Times New Roman" w:hAnsi="Times New Roman"/>
          <w:i/>
          <w:sz w:val="20"/>
        </w:rPr>
        <w:t>see our Annual Report on Form 20-F for the year ended December 31, 2022Item 4.B. Business OverviewTaxation of the PartnershipThe Section</w:t>
      </w:r>
      <w:r>
        <w:rPr>
          <w:rFonts w:ascii="Times New Roman" w:hAnsi="Times New Roman"/>
          <w:sz w:val="20"/>
        </w:rPr>
        <w:t> </w:t>
      </w:r>
      <w:r>
        <w:rPr>
          <w:rFonts w:ascii="Times New Roman" w:hAnsi="Times New Roman"/>
          <w:i/>
          <w:sz w:val="20"/>
        </w:rPr>
        <w:t>883 Exemption)</w:t>
      </w:r>
      <w:r>
        <w:rPr>
          <w:rFonts w:ascii="Times New Roman" w:hAnsi="Times New Roman"/>
          <w:sz w:val="20"/>
        </w:rPr>
        <w:t xml:space="preserve">. In this regard, the IRS has taken the position in Revenue Ruling 87-15 that the Section 883 exemption does not cause subpart F income to be exempted from U.S. federal income tax. Any U.S. Holder of Navios Partners that owns 10% or more (by vote or value), directly or indirectly, of the equity of Navios Partners should consult its own tax advisor regarding the U.S. federal tax consequences that may result from Navios Partners (and a CFC Sub) being treated as a CFC. </w:t>
      </w:r>
    </w:p>
    <w:p>
      <w:pPr>
        <w:pStyle w:val="TextBody"/>
        <w:bidi w:val="0"/>
        <w:spacing w:before="360" w:after="0"/>
        <w:jc w:val="left"/>
        <w:rPr>
          <w:rFonts w:ascii="Times New Roman" w:hAnsi="Times New Roman"/>
          <w:b/>
          <w:i/>
          <w:sz w:val="20"/>
        </w:rPr>
      </w:pPr>
      <w:r>
        <w:rPr>
          <w:rFonts w:ascii="Times New Roman" w:hAnsi="Times New Roman"/>
          <w:b/>
          <w:i/>
          <w:sz w:val="20"/>
        </w:rPr>
        <w:t xml:space="preserve">Medicare Tax </w:t>
      </w:r>
    </w:p>
    <w:p>
      <w:pPr>
        <w:pStyle w:val="TextBody"/>
        <w:bidi w:val="0"/>
        <w:spacing w:before="120" w:after="0"/>
        <w:jc w:val="left"/>
        <w:rPr>
          <w:rFonts w:ascii="Times New Roman" w:hAnsi="Times New Roman"/>
          <w:sz w:val="20"/>
        </w:rPr>
      </w:pPr>
      <w:r>
        <w:rPr>
          <w:rFonts w:ascii="Times New Roman" w:hAnsi="Times New Roman"/>
          <w:sz w:val="20"/>
        </w:rPr>
        <w:t xml:space="preserve">A U.S. Holder that is an individual or estate, or a trust that does not fall into a special class of trusts that is exempt from such tax, will generally be subject to a 3.8% tax on the lesser of (i) the U.S. Holders net investment income for a taxable year and (ii) the excess of the U.S. Holders modified adjusted gross income for such taxable year over $200,000 ($250,000 in the case of joint filers). For these purposes, net investment income will generally include dividends paid with respect to our common units and net gain attributable to the disposition of our common units not held in connection with certain trades or businesses, but will be reduced by any deductions properly allocable to such income or net gain.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U.S. Federal Income Taxation of Non-U.S. Holders </w:t>
      </w:r>
    </w:p>
    <w:p>
      <w:pPr>
        <w:pStyle w:val="TextBody"/>
        <w:bidi w:val="0"/>
        <w:spacing w:before="120" w:after="0"/>
        <w:jc w:val="left"/>
        <w:rPr>
          <w:rFonts w:ascii="Times New Roman" w:hAnsi="Times New Roman"/>
          <w:sz w:val="20"/>
        </w:rPr>
      </w:pPr>
      <w:r>
        <w:rPr>
          <w:rFonts w:ascii="Times New Roman" w:hAnsi="Times New Roman"/>
          <w:sz w:val="20"/>
        </w:rPr>
        <w:t xml:space="preserve">A beneficial owner of our common units (other than a partnership or an entity or arrangement treated as a partnership for U.S. federal income tax purposes) that is not a U.S. Holder is a Non-U.S.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(and a corporate Non-U.S. Holder may also be subject to U.S. federal branch profits tax). However, distributions paid to a Non-U.S. Holder who is engaged in a trade or business may be exempt from taxation under an income tax treaty if the income arising from the distribution is not attributable to a U.S. permanent establishment maintained by the Non-U.S.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Disposition of Units </w:t>
      </w:r>
    </w:p>
    <w:p>
      <w:pPr>
        <w:pStyle w:val="TextBody"/>
        <w:bidi w:val="0"/>
        <w:spacing w:before="120" w:after="0"/>
        <w:jc w:val="left"/>
        <w:rPr>
          <w:rFonts w:ascii="Times New Roman" w:hAnsi="Times New Roman"/>
          <w:sz w:val="20"/>
        </w:rPr>
      </w:pPr>
      <w:r>
        <w:rPr>
          <w:rFonts w:ascii="Times New Roman" w:hAnsi="Times New Roman"/>
          <w:sz w:val="20"/>
        </w:rPr>
        <w:t xml:space="preserve">In general, a Non-U.S. Holder will not be subject to U.S. federal income tax or withholding tax on any gain resulting from the disposition of our common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such gain also is attributable to a U.S. permanent establishment). However, even if not engaged in a U.S. trade or business, individual Non-U.S. Holders may be subject to tax on gain resulting from the disposition of our common units if they are present in the United States for 183 days or more during the taxable year in which those units are disposed and meet certain other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In general, payments to a non-corporate U.S. Holder of distributions or the proceeds of a disposition of common units may be subject to information reporting. These payments to a non-corporate U.S. Holder also may be subject to backup withholding (currently at a rate of 24%), if the non-corporate U.S.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fails to provide an accurate taxpayer identification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notified by the IRS that he has failed to report all interest or corporate distributions required to be reported on his U.S. federal income tax returns;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certain circumstances, fails to comply with applicable certification requirements. </w:t>
            </w:r>
          </w:p>
        </w:tc>
      </w:tr>
    </w:tbl>
    <w:p>
      <w:pPr>
        <w:pStyle w:val="TextBody"/>
        <w:bidi w:val="0"/>
        <w:spacing w:before="240" w:after="0"/>
        <w:jc w:val="left"/>
        <w:rPr>
          <w:rFonts w:ascii="Times New Roman" w:hAnsi="Times New Roman"/>
          <w:sz w:val="20"/>
        </w:rPr>
      </w:pPr>
      <w:r>
        <w:rPr>
          <w:rFonts w:ascii="Times New Roman" w:hAnsi="Times New Roman"/>
          <w:sz w:val="20"/>
        </w:rPr>
        <w:t>A U.S. Holder generally is required to certify its compliance with the backup withholding rules on IRS Form W-9.</w:t>
      </w:r>
    </w:p>
    <w:p>
      <w:pPr>
        <w:pStyle w:val="TextBody"/>
        <w:bidi w:val="0"/>
        <w:spacing w:before="240" w:after="0"/>
        <w:jc w:val="left"/>
        <w:rPr>
          <w:rFonts w:ascii="Times New Roman" w:hAnsi="Times New Roman"/>
          <w:sz w:val="20"/>
        </w:rPr>
      </w:pPr>
      <w:r>
        <w:rPr>
          <w:rFonts w:ascii="Times New Roman" w:hAnsi="Times New Roman"/>
          <w:sz w:val="20"/>
        </w:rPr>
        <w:t xml:space="preserve">Non-U.S. Holders may be required to establish their exemption from information reporting and backup withholding by certifying their status on IRS Form W-8BEN, W-8BEN-E, W-8ECI or W-8IMY,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Rather, a unitholder generally may obtain a credit for any amount withheld against his liability for U.S. federal income tax (and obtain a refund of any amounts withheld in excess of such liability) by filing a U.S. federal income tax return with the IRS. </w:t>
      </w:r>
    </w:p>
    <w:p>
      <w:pPr>
        <w:pStyle w:val="TextBody"/>
        <w:bidi w:val="0"/>
        <w:spacing w:before="240" w:after="0"/>
        <w:jc w:val="left"/>
        <w:rPr>
          <w:rFonts w:ascii="Times New Roman" w:hAnsi="Times New Roman"/>
          <w:sz w:val="20"/>
        </w:rPr>
      </w:pPr>
      <w:r>
        <w:rPr>
          <w:rFonts w:ascii="Times New Roman" w:hAnsi="Times New Roman"/>
          <w:sz w:val="20"/>
        </w:rPr>
        <w:t xml:space="preserve">Individual U.S. Holders (and to the extent specified in applicable U.S. Treasury Regulations, certain individual Non-U.S. Holders and certain U.S. Holders that are entities) that hold specified foreign financial assets, including our common units, whose aggregate value exceeds $75,000 at any time during the taxable year or $50,000 on the last day of the taxable year (or such higher amounts as prescribed by applicable U.S. Treasury Regulations) are required to file a report on IRS Form 8938 with information relating to the assets for each such taxable year. Specified foreign financial assets would include, among other things, our common units, unless such common units are held in an account maintained by a U.S. financial institution (as defined). Substantial penalties apply to any failure to timely file IRS Form 8938, unless the failure is shown to be due to reasonable cause and not due to willful neglect. Additionally, in the event an individual U.S. Holder (and to the extent specified in applicable Treasury Regulations, an individual Non-U.S. Holder or a U.S. entity) that is required to file IRS Form 8938 does not file such form, the statute of limitations on the assessment and collection of U.S. federal income taxes of such holder for the related tax year may not close until three years after the date that the required information is filed. U.S. Holders (including U.S. entities) and Non-U.S. Holders should consult their own tax advisors regarding their reporting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x398843_17"/>
      <w:bookmarkEnd w:id="19"/>
      <w:r>
        <w:rPr>
          <w:rFonts w:ascii="Times New Roman" w:hAnsi="Times New Roman"/>
          <w:b/>
          <w:sz w:val="20"/>
        </w:rPr>
        <w:t xml:space="preserve">MARSHALL ISLANDS TAX CONSIDERATIONS </w:t>
      </w:r>
    </w:p>
    <w:p>
      <w:pPr>
        <w:pStyle w:val="TextBody"/>
        <w:bidi w:val="0"/>
        <w:spacing w:before="240" w:after="0"/>
        <w:jc w:val="left"/>
        <w:rPr>
          <w:rFonts w:ascii="Times New Roman" w:hAnsi="Times New Roman"/>
          <w:b/>
          <w:sz w:val="20"/>
        </w:rPr>
      </w:pPr>
      <w:r>
        <w:rPr>
          <w:rFonts w:ascii="Times New Roman" w:hAnsi="Times New Roman"/>
          <w:b/>
          <w:sz w:val="20"/>
        </w:rPr>
        <w:t xml:space="preserve">Marshall Islands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based upon the opinion of Reeder &amp; Simpson P.C., our counsel as to matters of the laws of the Republic of the Marshall Islands, and the current laws of the Republic of the Marshall Islands applicable to persons who do not reside in, maintain offices in or engage in business in the Republic of the Marshall Islands. </w:t>
      </w:r>
    </w:p>
    <w:p>
      <w:pPr>
        <w:pStyle w:val="TextBody"/>
        <w:bidi w:val="0"/>
        <w:spacing w:before="240" w:after="0"/>
        <w:jc w:val="left"/>
        <w:rPr>
          <w:rFonts w:ascii="Times New Roman" w:hAnsi="Times New Roman"/>
          <w:sz w:val="20"/>
        </w:rPr>
      </w:pPr>
      <w:r>
        <w:rPr>
          <w:rFonts w:ascii="Times New Roman" w:hAnsi="Times New Roman"/>
          <w:sz w:val="20"/>
        </w:rPr>
        <w:t xml:space="preserve">Because we and our subsidiaries do not and do not expect to conduct business or operations in the Republic of the Marshall Islands, under current Marshall Islands law you will not be subject to Marshall Islands taxation or withholding on distributions, including upon distribution treated as a return of capital, we make to you as a unitholder. In addition, you will not be subject to Marshall Islands stamp, capital gains or other taxes on the purchase, ownership or disposition of common units, and you will not be required by the Republic of the Marshall Islands to file a tax return relating to your ownership of common units. </w:t>
      </w:r>
    </w:p>
    <w:p>
      <w:pPr>
        <w:pStyle w:val="TextBody"/>
        <w:bidi w:val="0"/>
        <w:spacing w:before="240" w:after="0"/>
        <w:jc w:val="left"/>
        <w:rPr>
          <w:rFonts w:ascii="Times New Roman" w:hAnsi="Times New Roman"/>
          <w:b/>
          <w:sz w:val="20"/>
        </w:rPr>
      </w:pPr>
      <w:r>
        <w:rPr>
          <w:rFonts w:ascii="Times New Roman" w:hAnsi="Times New Roman"/>
          <w:b/>
          <w:sz w:val="20"/>
        </w:rPr>
        <w:t xml:space="preserve">EACH UNITHOLDER IS URGED TO CONSULT HIS OWN TAX, LEGAL AND OTHER ADVISORS REGARDING THE CONSEQUENCES OF OWNERSHIP OF COMMON UNITS UNDER THE UNITHOLDERS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x398843_18"/>
      <w:bookmarkEnd w:id="2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Reeder &amp; Simpson P.C., Marshall Islands counsel, will provide us with an opinion as to the legal matters in connection with the securities we are offering. Unless otherwise specified in a prospectus supplement, the validity of the debt securities will be passed upon for us by Thompson Hine LLP. In connection with particular offerings of debt securities in the future, the validity of those debt securities also may be passed upon for any underwriters or agents by counsel named in the applicable prospectus supplement. </w:t>
      </w:r>
    </w:p>
    <w:p>
      <w:pPr>
        <w:pStyle w:val="TextBody"/>
        <w:bidi w:val="0"/>
        <w:spacing w:before="480" w:after="0"/>
        <w:jc w:val="center"/>
        <w:rPr>
          <w:rFonts w:ascii="Times New Roman" w:hAnsi="Times New Roman"/>
          <w:b/>
          <w:sz w:val="20"/>
        </w:rPr>
      </w:pPr>
      <w:bookmarkStart w:id="21" w:name="tx398843_19"/>
      <w:bookmarkEnd w:id="2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Navios Maritime Partners L.P. at December 31, 2022 and 2021, and for each of the two years in the period ended December 31, 2022, appearing in Navios Maritime Partners L.P.s Annual Report (Form 20-F) for the year ended December 31, 2022, and the effectiveness of Navios Maritime Partners L.P.s internal control over financial reporting as of December 31, 2022, have been audited by Ernst &amp; Young (Hellas) Certified Auditors Accountants S.A., independent registered public accounting firm, as set forth in their reports thereon, included therein, and incorporated herein by reference. Such consolidated financial statements and Navios Maritime Partners L.P.s managements assessment of the effectiveness of internal control over financial reporting as of December 31, 2022, are incorporated herein by reference in reliance upon such reports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for the year ended December 31, 2020 incorporated in this prospectus by reference to the Annual Report on Form 20-F for the year ended December 31, 2022 have been so incorporated in reliance on the report of PricewaterhouseCoopers S.A.,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22" w:name="tx398843_20"/>
      <w:bookmarkEnd w:id="22"/>
      <w:r>
        <w:rPr>
          <w:rFonts w:ascii="Times New Roman" w:hAnsi="Times New Roman"/>
          <w:b/>
          <w:sz w:val="20"/>
        </w:rPr>
        <w:t xml:space="preserve">EXPENSES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main costs and expenses, other than the underwriting discounts and commissions and the financial advisory fee, in connection with this offering, which we will be required to pay.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8"/>
        <w:gridCol w:w="344"/>
        <w:gridCol w:w="142"/>
        <w:gridCol w:w="1052"/>
        <w:gridCol w:w="63"/>
      </w:tblGrid>
      <w:tr>
        <w:trPr/>
        <w:tc>
          <w:tcPr>
            <w:tcW w:w="5338"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Securities and Exchange Commission registration fee</w:t>
            </w:r>
          </w:p>
        </w:tc>
        <w:tc>
          <w:tcPr>
            <w:tcW w:w="34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17,100.22</w:t>
            </w:r>
          </w:p>
        </w:tc>
        <w:tc>
          <w:tcPr>
            <w:tcW w:w="63"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Financial Industry Regulatory Authority, Inc. filing fee</w:t>
            </w:r>
          </w:p>
        </w:tc>
        <w:tc>
          <w:tcPr>
            <w:tcW w:w="34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Industry Regulatory Authority, Inc. filing fee</w:t>
            </w:r>
          </w:p>
        </w:tc>
        <w:tc>
          <w:tcPr>
            <w:tcW w:w="34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NYSE listing fee</w:t>
            </w:r>
          </w:p>
        </w:tc>
        <w:tc>
          <w:tcPr>
            <w:tcW w:w="34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4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34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 fees</w:t>
            </w:r>
          </w:p>
        </w:tc>
        <w:tc>
          <w:tcPr>
            <w:tcW w:w="34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34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4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17,100.22</w:t>
            </w:r>
          </w:p>
        </w:tc>
        <w:tc>
          <w:tcPr>
            <w:tcW w:w="63"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05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to be provided in a prospectus supplement or in a Current Report on Form 6-K subsequently incorporated by reference into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tx398843_21"/>
      <w:bookmarkEnd w:id="23"/>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information that we file with the SEC. This means that we can disclose important information to you without actually including the specific information in this prospectus by referring you to other documents filed separately with the SEC. The information incorporated by reference is an important part of this prospectus. Information that we later provide to the SEC, and which is deemed to be filed with the SEC, automatically will update information previously filed with the SEC, and may replace information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20-F for the year ended December 31, 2022, filed on </w:t>
            </w:r>
            <w:hyperlink r:id="rId3">
              <w:r>
                <w:rPr>
                  <w:rStyle w:val="InternetLink"/>
                  <w:rFonts w:ascii="Times New Roman" w:hAnsi="Times New Roman"/>
                  <w:sz w:val="20"/>
                </w:rPr>
                <w:t>March 24, 2023</w:t>
              </w:r>
            </w:hyperlink>
            <w:r>
              <w:rPr>
                <w:rFonts w:ascii="Times New Roman" w:hAnsi="Times New Roman"/>
                <w:sz w:val="20"/>
              </w:rPr>
              <w:t xml:space="preserve"> (the Form 20-F);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subsequent reports on Form 20-F shall be deemed to be incorporated by reference into this prospectus and deemed to be part hereof after the date of this prospectus but before the termination of the offering by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reports on Form 6-K furnished to the SEC subsequent to the date of the initial registration statement and prior to effectiveness of the registration statement, and after the date of this prospectus, only to the extent that the forms expressly state that we incorporate them by reference in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description of our common units contained in our Registration Statement on Form 8-A filed on </w:t>
            </w:r>
            <w:hyperlink r:id="rId4">
              <w:r>
                <w:rPr>
                  <w:rStyle w:val="InternetLink"/>
                  <w:rFonts w:ascii="Times New Roman" w:hAnsi="Times New Roman"/>
                  <w:sz w:val="20"/>
                </w:rPr>
                <w:t>November 7, 2007</w:t>
              </w:r>
            </w:hyperlink>
            <w:r>
              <w:rPr>
                <w:rFonts w:ascii="Times New Roman" w:hAnsi="Times New Roman"/>
                <w:sz w:val="20"/>
              </w:rPr>
              <w:t xml:space="preserve">, including any subsequent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by reference herein shall be deemed to be modified or superseded for all purposes to the extent that a statement contained in this prospectus, or in any other subsequently filed document which is also incorporated or deemed to be incorporated by reference, modifies or supersedes such statement. Any statement so modified or superseded shall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each person to whom a prospectus is delivered, a copy of any or all information that has been incorporated by reference into this prospectus, but not delivered with this prospectus. You may request, orally or in writing, a copy of these documents, which will be provided to you at no cost, by contacting: </w:t>
      </w:r>
    </w:p>
    <w:p>
      <w:pPr>
        <w:pStyle w:val="TextBody"/>
        <w:bidi w:val="0"/>
        <w:spacing w:before="240" w:after="0"/>
        <w:jc w:val="center"/>
        <w:rPr>
          <w:rFonts w:ascii="Times New Roman" w:hAnsi="Times New Roman"/>
          <w:sz w:val="20"/>
        </w:rPr>
      </w:pPr>
      <w:r>
        <w:rPr>
          <w:rFonts w:ascii="Times New Roman" w:hAnsi="Times New Roman"/>
          <w:sz w:val="20"/>
        </w:rPr>
        <w:t xml:space="preserve">Vasiliki (Villy) Papaefthymiou </w:t>
      </w:r>
    </w:p>
    <w:p>
      <w:pPr>
        <w:pStyle w:val="TextBody"/>
        <w:bidi w:val="0"/>
        <w:spacing w:before="0" w:after="0"/>
        <w:jc w:val="center"/>
        <w:rPr>
          <w:rFonts w:ascii="Times New Roman" w:hAnsi="Times New Roman"/>
          <w:sz w:val="20"/>
        </w:rPr>
      </w:pPr>
      <w:r>
        <w:rPr>
          <w:rFonts w:ascii="Times New Roman" w:hAnsi="Times New Roman"/>
          <w:sz w:val="20"/>
        </w:rPr>
        <w:t xml:space="preserve">Secretary </w:t>
      </w:r>
    </w:p>
    <w:p>
      <w:pPr>
        <w:pStyle w:val="TextBody"/>
        <w:bidi w:val="0"/>
        <w:spacing w:before="0" w:after="0"/>
        <w:jc w:val="center"/>
        <w:rPr>
          <w:rFonts w:ascii="Times New Roman" w:hAnsi="Times New Roman"/>
          <w:sz w:val="20"/>
        </w:rPr>
      </w:pPr>
      <w:r>
        <w:rPr>
          <w:rFonts w:ascii="Times New Roman" w:hAnsi="Times New Roman"/>
          <w:sz w:val="20"/>
        </w:rPr>
        <w:t xml:space="preserve">Navios Maritime Partners L.P. </w:t>
      </w:r>
    </w:p>
    <w:p>
      <w:pPr>
        <w:pStyle w:val="TextBody"/>
        <w:bidi w:val="0"/>
        <w:spacing w:before="0" w:after="0"/>
        <w:jc w:val="center"/>
        <w:rPr>
          <w:rFonts w:ascii="Times New Roman" w:hAnsi="Times New Roman"/>
          <w:sz w:val="20"/>
        </w:rPr>
      </w:pPr>
      <w:r>
        <w:rPr>
          <w:rFonts w:ascii="Times New Roman" w:hAnsi="Times New Roman"/>
          <w:sz w:val="20"/>
        </w:rPr>
        <w:t xml:space="preserve">7, Avenue de Grande Bretagne, Office 11B2 </w:t>
      </w:r>
    </w:p>
    <w:p>
      <w:pPr>
        <w:pStyle w:val="TextBody"/>
        <w:bidi w:val="0"/>
        <w:spacing w:before="0" w:after="0"/>
        <w:jc w:val="center"/>
        <w:rPr>
          <w:rFonts w:ascii="Times New Roman" w:hAnsi="Times New Roman"/>
          <w:sz w:val="20"/>
        </w:rPr>
      </w:pPr>
      <w:r>
        <w:rPr>
          <w:rFonts w:ascii="Times New Roman" w:hAnsi="Times New Roman"/>
          <w:sz w:val="20"/>
        </w:rPr>
        <w:t xml:space="preserve">Monte Carlo MC 98000 Monaco </w:t>
      </w:r>
    </w:p>
    <w:p>
      <w:pPr>
        <w:pStyle w:val="TextBody"/>
        <w:bidi w:val="0"/>
        <w:spacing w:before="0" w:after="0"/>
        <w:jc w:val="center"/>
        <w:rPr>
          <w:rFonts w:ascii="Times New Roman" w:hAnsi="Times New Roman"/>
          <w:sz w:val="20"/>
        </w:rPr>
      </w:pPr>
      <w:r>
        <w:rPr>
          <w:rFonts w:ascii="Times New Roman" w:hAnsi="Times New Roman"/>
          <w:sz w:val="20"/>
        </w:rPr>
        <w:t xml:space="preserve">(011) + (377) 9798-2140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or any prospectus supplement. We have not authorized anyone else to provide you with any information. You should not assume that the information incorporated by reference or provided in this prospectus or any prospectus supplement is accurate as of any date other than the date on the front of each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tx398843_22"/>
      <w:bookmarkEnd w:id="24"/>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Government Filings </w:t>
      </w:r>
    </w:p>
    <w:p>
      <w:pPr>
        <w:pStyle w:val="TextBody"/>
        <w:bidi w:val="0"/>
        <w:spacing w:before="120" w:after="0"/>
        <w:jc w:val="left"/>
        <w:rPr>
          <w:rFonts w:ascii="Times New Roman" w:hAnsi="Times New Roman"/>
          <w:sz w:val="20"/>
        </w:rPr>
      </w:pPr>
      <w:r>
        <w:rPr>
          <w:rFonts w:ascii="Times New Roman" w:hAnsi="Times New Roman"/>
          <w:sz w:val="20"/>
        </w:rPr>
        <w:t xml:space="preserve">As required by the Securities Act, we filed a registration statement on Form F-3 relating to the securities offered by this prospectus with the SEC. This prospectus is a part of that registration statement, which includes additional information. You should refer to the registration statement and its exhibits for additional information. Whenever we make reference in this prospectus to any of our contracts, agreements or other documents, the references are not necessarily complete and you should refer to the exhibits attached to the registration statement for copies of the actual contract, agreements or other document.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Securities Exchange Act of 1934, as amended (the Exchange Act), applicable to foreign private issuers. We, as a foreign private issuer, are exempt from the rules under the Exchange Act prescribing certain disclosure and procedural requirements for proxy solicitations, and our officers, directors and principal shareholders are exempt from the reporting and short-swing profit recovery provisions contained in Section 16 of the Exchange Act, with respect to their purchases and sales of common units. In addition, we are not required to file annual, quarterly and current reports and financial statements with the SEC as frequently or as promptly as United States companies whose securities are registered under the Exchange Act. However, we anticipate filing with the SEC, within 180 days after the end of each fiscal year, an annual report on Form 20-F containing financial statements audited by an independent accounting firm. We also anticipate furnishing quarterly reports on Form 6-K containing unaudited interim financial information for the first three quarters of each fiscal year, within 75 days after the end of such quarter. </w:t>
      </w:r>
    </w:p>
    <w:p>
      <w:pPr>
        <w:pStyle w:val="TextBody"/>
        <w:bidi w:val="0"/>
        <w:spacing w:before="240" w:after="0"/>
        <w:jc w:val="left"/>
        <w:rPr>
          <w:rFonts w:ascii="Times New Roman" w:hAnsi="Times New Roman"/>
          <w:sz w:val="20"/>
        </w:rPr>
      </w:pPr>
      <w:r>
        <w:rPr>
          <w:rFonts w:ascii="Times New Roman" w:hAnsi="Times New Roman"/>
          <w:sz w:val="20"/>
        </w:rPr>
        <w:t xml:space="preserve">You may read and copy any document we file or furnish with the SEC at the SECs Public Reference Room at 100 F Street, N.E., Washington, DC 20549. You may also obtain copies of the documents at prescribed rates by writing to the Public Reference Section of the SEC at 100 F Street, N.E., Washington, DC 20549. Please call the SEC at 1-800-SEC-0330 for further information on the operation of the public reference facilities. You can review our SEC filings and the registration statement by accessing the SECs internet site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Documents may also be inspected at the offices of the Financial Industry Regulatory Authority at 1735 K Street, Washington, D.C. 20006.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provided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We will furnish holders of our common units with annual reports containing audited financial statements and corresponding reports by our independent registered public accounting firm, and intend to furnish quarterly reports containing selected unaudited financial data for the first three quarters of each fiscal year. The audited financial statements will be prepared in accordance with United States generally accepted accounting principles and those reports will include a Operating and Financial Review and Prospects section for the relevant periods. As a foreign private issuer, we were exempt from the rules under the Exchange Act prescribing the furnishing and content of proxy statements to shareholders. While we intend to furnish proxy statements to any shareholder in accordance with the rule of the NYSE, those proxy statements are not expected to conform to Schedule 14A of the proxy rules promulgated under the Exchange Act. In addition as a foreign issuer, we are exempt from the rules under the Exchange Act relating to short swing profit reporting and liability.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only part of a registration statement on Form F-3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charge at the public reference room,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 copy from the SEC upon payment of the fees prescribed by the SEC,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 copy from the SECs web site or our web site.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ENFORCEABILITY OF CIVIL LIABILITIES AND </w:t>
      </w:r>
    </w:p>
    <w:p>
      <w:pPr>
        <w:pStyle w:val="TextBody"/>
        <w:bidi w:val="0"/>
        <w:spacing w:before="0" w:after="0"/>
        <w:jc w:val="center"/>
        <w:rPr>
          <w:rFonts w:ascii="Times New Roman" w:hAnsi="Times New Roman"/>
          <w:b/>
          <w:sz w:val="20"/>
        </w:rPr>
      </w:pPr>
      <w:bookmarkStart w:id="25" w:name="tx398843_23"/>
      <w:bookmarkEnd w:id="25"/>
      <w:r>
        <w:rPr>
          <w:rFonts w:ascii="Times New Roman" w:hAnsi="Times New Roman"/>
          <w:b/>
          <w:sz w:val="20"/>
        </w:rPr>
        <w:t xml:space="preserve">INDEMNIFICATION FOR SECURITIES ACT LIABILITIES </w:t>
      </w:r>
    </w:p>
    <w:p>
      <w:pPr>
        <w:pStyle w:val="TextBody"/>
        <w:bidi w:val="0"/>
        <w:spacing w:before="240" w:after="0"/>
        <w:jc w:val="left"/>
        <w:rPr>
          <w:rFonts w:ascii="Times New Roman" w:hAnsi="Times New Roman"/>
          <w:sz w:val="20"/>
        </w:rPr>
      </w:pPr>
      <w:r>
        <w:rPr>
          <w:rFonts w:ascii="Times New Roman" w:hAnsi="Times New Roman"/>
          <w:sz w:val="20"/>
        </w:rPr>
        <w:t xml:space="preserve">We are organized under the laws of the Marshall Islands as a limited partnership. Our General Partner is organized under the laws of the Marshall Islands as a limited liability company. The Marshall Islands has a less developed body of securities laws as compared to the United States and provides protections for investors to a significantly lesser extent. </w:t>
      </w:r>
    </w:p>
    <w:p>
      <w:pPr>
        <w:pStyle w:val="TextBody"/>
        <w:bidi w:val="0"/>
        <w:spacing w:before="240" w:after="0"/>
        <w:jc w:val="left"/>
        <w:rPr>
          <w:rFonts w:ascii="Times New Roman" w:hAnsi="Times New Roman"/>
          <w:sz w:val="20"/>
        </w:rPr>
      </w:pPr>
      <w:r>
        <w:rPr>
          <w:rFonts w:ascii="Times New Roman" w:hAnsi="Times New Roman"/>
          <w:sz w:val="20"/>
        </w:rPr>
        <w:t xml:space="preserve">Most of our directors and the directors and officers of our General Partner and those of our subsidiaries are residents of countries other than the United States. Substantially all of our and our subsidiaries assets and a substantial portion of the assets of our directors and the directors and officers of our General Partner are located outside the United States. As a result, it may be difficult or impossible for United States investors to effect service of process within the United States upon us, our directors, our General Partner, our subsidiaries or the directors and officers of our General Partner or to realize against us or them judgments obtained in United States courts, including judgments predicated upon the civil liability provisions of the securities laws of the United States or any state in the United States. 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the Trust Company of the Marshall Islands, Inc., Trust Company Complex, Ajeltake Island, P.O. Box 1405, Majuro, Marshall Islands MH96960, to accept service of process on our behalf in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Reeder &amp; Simpson P.C., our counsel as to Marshall Islands law, has advised us that there is uncertainty as to whether the courts of the Republic of the Marshall Islands would (1) recognize or enforce against us, our General Partner or our General Partners directors or officers judgments of courts of the United States based on civil liability provisions of applicable U.S. federal and state securities laws or (2) impose liabilities against us, our directors, our General Partner or our General Partners directors and officers in original actions brought in the Marshall Islands, based on these laws.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We have obtained directors and officers liability insurance against any liability asserted against such person incurred in the capacity of director or officer or arising out of such status, whether or not we would have the power to indemnify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8.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9 of the Republic of the Marshall Islands Revised Partnership Act provides as follows: </w:t>
      </w:r>
    </w:p>
    <w:p>
      <w:pPr>
        <w:pStyle w:val="TextBody"/>
        <w:bidi w:val="0"/>
        <w:spacing w:before="240" w:after="0"/>
        <w:jc w:val="left"/>
        <w:rPr>
          <w:rFonts w:ascii="Times New Roman" w:hAnsi="Times New Roman"/>
          <w:sz w:val="20"/>
        </w:rPr>
      </w:pPr>
      <w:r>
        <w:rPr>
          <w:rFonts w:ascii="Times New Roman" w:hAnsi="Times New Roman"/>
          <w:i/>
          <w:sz w:val="20"/>
        </w:rPr>
        <w:t xml:space="preserve">Indemnification. </w:t>
      </w:r>
      <w:r>
        <w:rPr>
          <w:rFonts w:ascii="Times New Roman" w:hAnsi="Times New Roman"/>
          <w:sz w:val="20"/>
        </w:rPr>
        <w:t xml:space="preserve">Subject to such standards and restrictions, if any, as are set forth in its partnership agreement, a partnership may, and shall have the power to, indemnify and hold harmless any partner or other person from and against all claims and demands whatsoever. </w:t>
      </w:r>
    </w:p>
    <w:p>
      <w:pPr>
        <w:pStyle w:val="TextBody"/>
        <w:bidi w:val="0"/>
        <w:spacing w:before="240" w:after="0"/>
        <w:jc w:val="left"/>
        <w:rPr>
          <w:rFonts w:ascii="Times New Roman" w:hAnsi="Times New Roman"/>
          <w:sz w:val="20"/>
        </w:rPr>
      </w:pPr>
      <w:r>
        <w:rPr>
          <w:rFonts w:ascii="Times New Roman" w:hAnsi="Times New Roman"/>
          <w:sz w:val="20"/>
        </w:rPr>
        <w:t xml:space="preserve">We generally indemnify our directors and officers and the other affiliates of our General Partner to the fullest extent permitted by the law against all losses, claims, damages or similar events and the description of such indemnification is contained in our prospectus dated November 12, 2007 and included in our registration statement on Form F-1, as amended, initially filed with the SEC on October 26, 2007 incorporated herein by this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 Exhibits and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(a)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7"/>
        <w:gridCol w:w="542"/>
        <w:gridCol w:w="8776"/>
      </w:tblGrid>
      <w:tr>
        <w:trPr/>
        <w:tc>
          <w:tcPr>
            <w:tcW w:w="887" w:type="dxa"/>
            <w:tcBorders/>
            <w:vAlign w:val="center"/>
          </w:tcPr>
          <w:p>
            <w:pPr>
              <w:pStyle w:val="TableContents"/>
              <w:bidi w:val="0"/>
              <w:spacing w:before="0" w:after="283"/>
              <w:jc w:val="left"/>
              <w:rPr>
                <w:sz w:val="4"/>
                <w:szCs w:val="4"/>
              </w:rPr>
            </w:pPr>
            <w:r>
              <w:rPr>
                <w:sz w:val="4"/>
                <w:szCs w:val="4"/>
              </w:rPr>
            </w:r>
          </w:p>
        </w:tc>
        <w:tc>
          <w:tcPr>
            <w:tcW w:w="542" w:type="dxa"/>
            <w:tcBorders/>
            <w:vAlign w:val="bottom"/>
          </w:tcPr>
          <w:p>
            <w:pPr>
              <w:pStyle w:val="TableContents"/>
              <w:bidi w:val="0"/>
              <w:spacing w:before="0" w:after="283"/>
              <w:jc w:val="left"/>
              <w:rPr>
                <w:sz w:val="4"/>
                <w:szCs w:val="4"/>
              </w:rPr>
            </w:pPr>
            <w:r>
              <w:rPr>
                <w:sz w:val="4"/>
                <w:szCs w:val="4"/>
              </w:rPr>
            </w:r>
          </w:p>
        </w:tc>
        <w:tc>
          <w:tcPr>
            <w:tcW w:w="8776" w:type="dxa"/>
            <w:tcBorders/>
            <w:vAlign w:val="center"/>
          </w:tcPr>
          <w:p>
            <w:pPr>
              <w:pStyle w:val="TableContents"/>
              <w:bidi w:val="0"/>
              <w:spacing w:before="0" w:after="283"/>
              <w:jc w:val="left"/>
              <w:rPr>
                <w:sz w:val="4"/>
                <w:szCs w:val="4"/>
              </w:rPr>
            </w:pPr>
            <w:r>
              <w:rPr>
                <w:sz w:val="4"/>
                <w:szCs w:val="4"/>
              </w:rPr>
            </w:r>
          </w:p>
        </w:tc>
      </w:tr>
      <w:tr>
        <w:trPr/>
        <w:tc>
          <w:tcPr>
            <w:tcW w:w="887"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542" w:type="dxa"/>
            <w:tcBorders/>
            <w:vAlign w:val="bottom"/>
          </w:tcPr>
          <w:p>
            <w:pPr>
              <w:pStyle w:val="TableContents"/>
              <w:bidi w:val="0"/>
              <w:spacing w:before="0" w:after="283"/>
              <w:jc w:val="left"/>
              <w:rPr/>
            </w:pPr>
            <w:r>
              <w:rPr/>
              <w:t>  </w:t>
            </w:r>
          </w:p>
        </w:tc>
        <w:tc>
          <w:tcPr>
            <w:tcW w:w="87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Document</w:t>
            </w:r>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  </w:t>
            </w:r>
            <w:r>
              <w:rPr/>
              <w:t>1.1*</w:t>
            </w:r>
          </w:p>
        </w:tc>
        <w:tc>
          <w:tcPr>
            <w:tcW w:w="542"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r>
              <w:rPr/>
              <w:t>Form of Underwriting Agreement.</w:t>
            </w:r>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  </w:t>
            </w:r>
            <w:r>
              <w:rPr/>
              <w:t>4.1</w:t>
            </w:r>
          </w:p>
        </w:tc>
        <w:tc>
          <w:tcPr>
            <w:tcW w:w="542"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w:anchor="d398843dex41.htm">
              <w:r>
                <w:rPr>
                  <w:rStyle w:val="InternetLink"/>
                </w:rPr>
                <w:t>Form of Indenture.</w:t>
              </w:r>
            </w:hyperlink>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  </w:t>
            </w:r>
            <w:r>
              <w:rPr/>
              <w:t>5.1</w:t>
            </w:r>
          </w:p>
        </w:tc>
        <w:tc>
          <w:tcPr>
            <w:tcW w:w="542"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w:anchor="d398843dex51.htm">
              <w:r>
                <w:rPr>
                  <w:rStyle w:val="InternetLink"/>
                </w:rPr>
                <w:t>Opinion of Reeder &amp; Simpson P.C. regarding legality of the securities being registered.</w:t>
              </w:r>
            </w:hyperlink>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  </w:t>
            </w:r>
            <w:r>
              <w:rPr/>
              <w:t>5.2</w:t>
            </w:r>
          </w:p>
        </w:tc>
        <w:tc>
          <w:tcPr>
            <w:tcW w:w="542"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w:anchor="d398843dex52.htm">
              <w:r>
                <w:rPr>
                  <w:rStyle w:val="InternetLink"/>
                </w:rPr>
                <w:t>Opinion of Thompson Hine LLP regarding validity of debt securities.</w:t>
              </w:r>
            </w:hyperlink>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  </w:t>
            </w:r>
            <w:r>
              <w:rPr/>
              <w:t>8.1</w:t>
            </w:r>
          </w:p>
        </w:tc>
        <w:tc>
          <w:tcPr>
            <w:tcW w:w="542"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w:anchor="d398843dex81.htm">
              <w:r>
                <w:rPr>
                  <w:rStyle w:val="InternetLink"/>
                </w:rPr>
                <w:t>Opinion of Reeder &amp; Simpson P.C. regarding tax matters.</w:t>
              </w:r>
            </w:hyperlink>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  </w:t>
            </w:r>
            <w:r>
              <w:rPr/>
              <w:t>8.2</w:t>
            </w:r>
          </w:p>
        </w:tc>
        <w:tc>
          <w:tcPr>
            <w:tcW w:w="542"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w:anchor="d398843dex82.htm">
              <w:r>
                <w:rPr>
                  <w:rStyle w:val="InternetLink"/>
                </w:rPr>
                <w:t xml:space="preserve">Opinion of Thompson Hine LLP regarding tax matters. </w:t>
              </w:r>
            </w:hyperlink>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23.1</w:t>
            </w:r>
          </w:p>
        </w:tc>
        <w:tc>
          <w:tcPr>
            <w:tcW w:w="542"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w:anchor="d398843dex231.htm">
              <w:r>
                <w:rPr>
                  <w:rStyle w:val="InternetLink"/>
                </w:rPr>
                <w:t>Consent of PricewaterhouseCoopers S.A.</w:t>
              </w:r>
            </w:hyperlink>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23.2</w:t>
            </w:r>
          </w:p>
        </w:tc>
        <w:tc>
          <w:tcPr>
            <w:tcW w:w="542"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w:anchor="d398843dex232.htm">
              <w:r>
                <w:rPr>
                  <w:rStyle w:val="InternetLink"/>
                </w:rPr>
                <w:t xml:space="preserve">Consent of Ernst &amp; Young (Hellas) Certified Auditors Accountants S.A </w:t>
              </w:r>
            </w:hyperlink>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23.3</w:t>
            </w:r>
          </w:p>
        </w:tc>
        <w:tc>
          <w:tcPr>
            <w:tcW w:w="542"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w:anchor="d398843dex51.htm">
              <w:r>
                <w:rPr>
                  <w:rStyle w:val="InternetLink"/>
                </w:rPr>
                <w:t>Consent of Reeder &amp; Simpson P.C. (included in Exhibit 5.1 to this registration statement on Form F-3).</w:t>
              </w:r>
            </w:hyperlink>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23.4</w:t>
            </w:r>
          </w:p>
        </w:tc>
        <w:tc>
          <w:tcPr>
            <w:tcW w:w="542"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w:anchor="d398843dex52.htm">
              <w:r>
                <w:rPr>
                  <w:rStyle w:val="InternetLink"/>
                </w:rPr>
                <w:t>Consent of Thompson Hine LLP (included in Exhibit 5.2 to this registration statement on Form F-3).</w:t>
              </w:r>
            </w:hyperlink>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24.1</w:t>
            </w:r>
          </w:p>
        </w:tc>
        <w:tc>
          <w:tcPr>
            <w:tcW w:w="542"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w:anchor="sig">
              <w:r>
                <w:rPr>
                  <w:rStyle w:val="InternetLink"/>
                </w:rPr>
                <w:t xml:space="preserve">Power of Attorney (Included on signature page). </w:t>
              </w:r>
            </w:hyperlink>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25.1**</w:t>
            </w:r>
          </w:p>
        </w:tc>
        <w:tc>
          <w:tcPr>
            <w:tcW w:w="542"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r>
              <w:rPr/>
              <w:t>Statement of Eligibility on Form T-1 under the Trust Indenture Act of 1939, as amended, under the Indenture.</w:t>
            </w:r>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107</w:t>
            </w:r>
          </w:p>
        </w:tc>
        <w:tc>
          <w:tcPr>
            <w:tcW w:w="542"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pPr>
            <w:hyperlink w:anchor="d398843dexfilingfees.htm">
              <w:r>
                <w:rPr>
                  <w:rStyle w:val="InternetLink"/>
                </w:rPr>
                <w:t xml:space="preserve">Filing Fee Table </w:t>
              </w:r>
            </w:hyperlink>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as an exhibit to a post-effective amendment to this registration statement or as an exhibit to a Report on Form 6-K to be filed under the Exchange Act and incorporated herein by reference.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in accordance with the requirements of Section 305(b)(2) of the Trust Indenture Act of 1939, as amended.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240" w:after="0"/>
        <w:jc w:val="left"/>
        <w:rPr>
          <w:rFonts w:ascii="Times New Roman" w:hAnsi="Times New Roman"/>
          <w:sz w:val="20"/>
        </w:rPr>
      </w:pPr>
      <w:r>
        <w:rPr>
          <w:rFonts w:ascii="Times New Roman" w:hAnsi="Times New Roman"/>
          <w:sz w:val="20"/>
        </w:rPr>
        <w:t xml:space="preserve">(a)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283"/>
              <w:jc w:val="left"/>
              <w:rPr/>
            </w:pPr>
            <w:r>
              <w:rPr/>
              <w:t> </w:t>
            </w:r>
          </w:p>
        </w:tc>
        <w:tc>
          <w:tcPr>
            <w:tcW w:w="8370" w:type="dxa"/>
            <w:tcBorders/>
          </w:tcPr>
          <w:p>
            <w:pPr>
              <w:pStyle w:val="TableContents"/>
              <w:bidi w:val="0"/>
              <w:spacing w:before="0" w:after="283"/>
              <w:jc w:val="left"/>
              <w:rPr/>
            </w:pPr>
            <w:r>
              <w:rPr/>
              <w:t xml:space="preserve">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360" w:after="0"/>
        <w:jc w:val="left"/>
        <w:rPr>
          <w:rFonts w:ascii="Times New Roman" w:hAnsi="Times New Roman"/>
          <w:sz w:val="20"/>
        </w:rPr>
      </w:pPr>
      <w:r>
        <w:rPr>
          <w:rFonts w:ascii="Times New Roman" w:hAnsi="Times New Roman"/>
          <w:sz w:val="20"/>
        </w:rPr>
        <w:t xml:space="preserve">Provided however,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2"/>
        <w:gridCol w:w="8272"/>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Paragraphs (a)(1)(i) and (a)(1)(ii) of this section do not apply if the registration statement is on Form S-8 (§239.16b of this chapter), and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2"/>
        <w:gridCol w:w="8272"/>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Paragraphs (a)(1)(i), (ii), and (iii) of this section do not apply if the registration statement is on Form S-1 (§239.11 of this chapter), Form S-3 (§239.13 of this chapter), Form SF-3 (§239.45 of this chapter) or Form F-3 (§239.33 of this chapter) and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 or, as to a registration statement on Form S-3, Form SF-3 or Form F-3, is contained in a form of prospectus filed pursuant to §230.424(b) of this chapter that is part of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of 1933 or Rule 3-19 of this chapter if such financial statements and information are contained in periodic reports filed with or furnished to the SEC by the registrant pursuant to Section 13 or Section 15(d) of the Securities Exchange Act of 1934 that are incorporated by reference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of 1933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6.</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 230.424 of this chapter);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305(b)(2) of the Trust Indenture Act.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sig"/>
      <w:bookmarkEnd w:id="2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F-3 and has duly caused this Registration Statement on Form F-3 to be signed on its behalf by the undersigned, thereunto duly authorized, in the City of Piraeus, Country of Greece on the 11 of May,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4"/>
        <w:gridCol w:w="60"/>
        <w:gridCol w:w="657"/>
        <w:gridCol w:w="60"/>
        <w:gridCol w:w="2941"/>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NAVIOS MARITIME PARTNERS L.P.</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Angeliki Frangou</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pPr>
            <w:r>
              <w:rPr/>
              <w:t>Angeliki Frangou</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pPr>
            <w:r>
              <w:rPr/>
              <w:t>Chairman of the Board of Directors and Chief Executive Officer</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Efstratios Desypris</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pPr>
            <w:r>
              <w:rPr/>
              <w:t>Efstratios Desypris</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pPr>
            <w:r>
              <w:rPr/>
              <w:t>Chief Financial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and each person whose signature appears below constitutes and appoints Angeliki Frangou his or her true and lawful attorney-in-fact and agent, with full power of substitution and resubstitution, for him or her and in his or her name, place and stead, in any and all capacities, to sign and file any and all amendments (including post-effective amendments) to this Registration Statement, and any registration statement (including any amendments thereto) for this offering that is to be effective upon filing pursuant to Rule 462(b) under the Securities Act of 1933,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fully to all intents and purposes as he or she might or could do in person, hereby ratifying and confirming all that said attorney-in-fact and agent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94"/>
        <w:gridCol w:w="121"/>
        <w:gridCol w:w="3771"/>
        <w:gridCol w:w="121"/>
        <w:gridCol w:w="2898"/>
      </w:tblGrid>
      <w:tr>
        <w:trPr/>
        <w:tc>
          <w:tcPr>
            <w:tcW w:w="329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r>
      <w:tr>
        <w:trPr/>
        <w:tc>
          <w:tcPr>
            <w:tcW w:w="329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Signature</w:t>
            </w:r>
          </w:p>
        </w:tc>
        <w:tc>
          <w:tcPr>
            <w:tcW w:w="121" w:type="dxa"/>
            <w:tcBorders/>
            <w:vAlign w:val="bottom"/>
          </w:tcPr>
          <w:p>
            <w:pPr>
              <w:pStyle w:val="TableContents"/>
              <w:bidi w:val="0"/>
              <w:spacing w:before="0" w:after="283"/>
              <w:jc w:val="left"/>
              <w:rPr/>
            </w:pPr>
            <w:r>
              <w:rPr/>
              <w:t>  </w:t>
            </w:r>
          </w:p>
        </w:tc>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1" w:type="dxa"/>
            <w:tcBorders/>
            <w:vAlign w:val="bottom"/>
          </w:tcPr>
          <w:p>
            <w:pPr>
              <w:pStyle w:val="TableContents"/>
              <w:bidi w:val="0"/>
              <w:spacing w:before="0" w:after="283"/>
              <w:jc w:val="left"/>
              <w:rPr/>
            </w:pPr>
            <w:r>
              <w:rPr/>
              <w:t>  </w:t>
            </w:r>
          </w:p>
        </w:tc>
        <w:tc>
          <w:tcPr>
            <w:tcW w:w="28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294" w:type="dxa"/>
            <w:tcBorders/>
            <w:vAlign w:val="center"/>
          </w:tcPr>
          <w:p>
            <w:pPr>
              <w:pStyle w:val="TableContents"/>
              <w:bidi w:val="0"/>
              <w:spacing w:before="0" w:after="283"/>
              <w:jc w:val="left"/>
              <w:rPr>
                <w:sz w:val="4"/>
                <w:szCs w:val="4"/>
              </w:rPr>
            </w:pPr>
            <w:r>
              <w:rPr>
                <w:sz w:val="4"/>
                <w:szCs w:val="4"/>
              </w:rPr>
            </w:r>
          </w:p>
        </w:tc>
        <w:tc>
          <w:tcPr>
            <w:tcW w:w="3892" w:type="dxa"/>
            <w:gridSpan w:val="2"/>
            <w:tcBorders/>
            <w:vAlign w:val="center"/>
          </w:tcPr>
          <w:p>
            <w:pPr>
              <w:pStyle w:val="TableContents"/>
              <w:bidi w:val="0"/>
              <w:spacing w:before="0" w:after="283"/>
              <w:jc w:val="left"/>
              <w:rPr>
                <w:sz w:val="4"/>
                <w:szCs w:val="4"/>
              </w:rPr>
            </w:pPr>
            <w:r>
              <w:rPr>
                <w:sz w:val="4"/>
                <w:szCs w:val="4"/>
              </w:rPr>
            </w:r>
          </w:p>
        </w:tc>
        <w:tc>
          <w:tcPr>
            <w:tcW w:w="3019" w:type="dxa"/>
            <w:gridSpan w:val="2"/>
            <w:tcBorders/>
            <w:vAlign w:val="center"/>
          </w:tcPr>
          <w:p>
            <w:pPr>
              <w:pStyle w:val="TableContents"/>
              <w:bidi w:val="0"/>
              <w:spacing w:before="0" w:after="283"/>
              <w:jc w:val="left"/>
              <w:rPr>
                <w:sz w:val="4"/>
                <w:szCs w:val="4"/>
              </w:rPr>
            </w:pPr>
            <w:r>
              <w:rPr>
                <w:sz w:val="4"/>
                <w:szCs w:val="4"/>
              </w:rPr>
            </w:r>
          </w:p>
        </w:tc>
      </w:tr>
      <w:tr>
        <w:trPr/>
        <w:tc>
          <w:tcPr>
            <w:tcW w:w="329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/s/Angeliki Frangou</w:t>
            </w:r>
          </w:p>
          <w:p>
            <w:pPr>
              <w:pStyle w:val="TableContents"/>
              <w:bidi w:val="0"/>
              <w:spacing w:before="0" w:after="20"/>
              <w:jc w:val="center"/>
              <w:rPr>
                <w:rFonts w:ascii="Times New Roman" w:hAnsi="Times New Roman"/>
                <w:sz w:val="20"/>
              </w:rPr>
            </w:pPr>
            <w:r>
              <w:rPr>
                <w:rFonts w:ascii="Times New Roman" w:hAnsi="Times New Roman"/>
                <w:sz w:val="20"/>
              </w:rPr>
              <w:t>Angeliki Frangou</w:t>
            </w:r>
          </w:p>
        </w:tc>
        <w:tc>
          <w:tcPr>
            <w:tcW w:w="121" w:type="dxa"/>
            <w:tcBorders/>
            <w:vAlign w:val="bottom"/>
          </w:tcPr>
          <w:p>
            <w:pPr>
              <w:pStyle w:val="TableContents"/>
              <w:bidi w:val="0"/>
              <w:spacing w:before="0" w:after="283"/>
              <w:jc w:val="left"/>
              <w:rPr/>
            </w:pPr>
            <w:r>
              <w:rPr/>
              <w:t>  </w:t>
            </w:r>
          </w:p>
        </w:tc>
        <w:tc>
          <w:tcPr>
            <w:tcW w:w="3771" w:type="dxa"/>
            <w:tcBorders/>
          </w:tcPr>
          <w:p>
            <w:pPr>
              <w:pStyle w:val="TableContents"/>
              <w:bidi w:val="0"/>
              <w:spacing w:before="0" w:after="0"/>
              <w:jc w:val="left"/>
              <w:rPr>
                <w:rFonts w:ascii="Times New Roman" w:hAnsi="Times New Roman"/>
                <w:sz w:val="20"/>
              </w:rPr>
            </w:pPr>
            <w:r>
              <w:rPr>
                <w:rFonts w:ascii="Times New Roman" w:hAnsi="Times New Roman"/>
                <w:sz w:val="20"/>
              </w:rPr>
              <w:t>Chairwoman of the Board of Directors and</w:t>
            </w:r>
          </w:p>
          <w:p>
            <w:pPr>
              <w:pStyle w:val="TableContents"/>
              <w:bidi w:val="0"/>
              <w:spacing w:before="0" w:after="0"/>
              <w:jc w:val="left"/>
              <w:rPr>
                <w:rFonts w:ascii="Times New Roman" w:hAnsi="Times New Roman"/>
                <w:sz w:val="20"/>
              </w:rPr>
            </w:pPr>
            <w:r>
              <w:rPr>
                <w:rFonts w:ascii="Times New Roman" w:hAnsi="Times New Roman"/>
                <w:sz w:val="20"/>
              </w:rPr>
              <w:t>Chief Executive Officer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c>
          <w:tcPr>
            <w:tcW w:w="121" w:type="dxa"/>
            <w:tcBorders/>
            <w:vAlign w:val="bottom"/>
          </w:tcPr>
          <w:p>
            <w:pPr>
              <w:pStyle w:val="TableContents"/>
              <w:bidi w:val="0"/>
              <w:spacing w:before="0" w:after="283"/>
              <w:jc w:val="left"/>
              <w:rPr/>
            </w:pPr>
            <w:r>
              <w:rPr/>
              <w:t>  </w:t>
            </w:r>
          </w:p>
        </w:tc>
        <w:tc>
          <w:tcPr>
            <w:tcW w:w="2898" w:type="dxa"/>
            <w:tcBorders/>
          </w:tcPr>
          <w:p>
            <w:pPr>
              <w:pStyle w:val="TableContents"/>
              <w:bidi w:val="0"/>
              <w:spacing w:before="0" w:after="283"/>
              <w:jc w:val="left"/>
              <w:rPr/>
            </w:pPr>
            <w:r>
              <w:rPr/>
              <w:t>May 11, 2023</w:t>
            </w:r>
          </w:p>
        </w:tc>
      </w:tr>
      <w:tr>
        <w:trPr>
          <w:trHeight w:val="120" w:hRule="atLeast"/>
        </w:trPr>
        <w:tc>
          <w:tcPr>
            <w:tcW w:w="3294" w:type="dxa"/>
            <w:tcBorders/>
            <w:vAlign w:val="center"/>
          </w:tcPr>
          <w:p>
            <w:pPr>
              <w:pStyle w:val="TableContents"/>
              <w:bidi w:val="0"/>
              <w:spacing w:before="0" w:after="283"/>
              <w:jc w:val="left"/>
              <w:rPr>
                <w:sz w:val="4"/>
                <w:szCs w:val="4"/>
              </w:rPr>
            </w:pPr>
            <w:r>
              <w:rPr>
                <w:sz w:val="4"/>
                <w:szCs w:val="4"/>
              </w:rPr>
            </w:r>
          </w:p>
        </w:tc>
        <w:tc>
          <w:tcPr>
            <w:tcW w:w="3892" w:type="dxa"/>
            <w:gridSpan w:val="2"/>
            <w:tcBorders/>
            <w:vAlign w:val="center"/>
          </w:tcPr>
          <w:p>
            <w:pPr>
              <w:pStyle w:val="TableContents"/>
              <w:bidi w:val="0"/>
              <w:spacing w:before="0" w:after="283"/>
              <w:jc w:val="left"/>
              <w:rPr>
                <w:sz w:val="4"/>
                <w:szCs w:val="4"/>
              </w:rPr>
            </w:pPr>
            <w:r>
              <w:rPr>
                <w:sz w:val="4"/>
                <w:szCs w:val="4"/>
              </w:rPr>
            </w:r>
          </w:p>
        </w:tc>
        <w:tc>
          <w:tcPr>
            <w:tcW w:w="3019" w:type="dxa"/>
            <w:gridSpan w:val="2"/>
            <w:tcBorders/>
            <w:vAlign w:val="center"/>
          </w:tcPr>
          <w:p>
            <w:pPr>
              <w:pStyle w:val="TableContents"/>
              <w:bidi w:val="0"/>
              <w:spacing w:before="0" w:after="283"/>
              <w:jc w:val="left"/>
              <w:rPr>
                <w:sz w:val="4"/>
                <w:szCs w:val="4"/>
              </w:rPr>
            </w:pPr>
            <w:r>
              <w:rPr>
                <w:sz w:val="4"/>
                <w:szCs w:val="4"/>
              </w:rPr>
            </w:r>
          </w:p>
        </w:tc>
      </w:tr>
      <w:tr>
        <w:trPr/>
        <w:tc>
          <w:tcPr>
            <w:tcW w:w="329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Erifyli Tsironi</w:t>
            </w:r>
          </w:p>
          <w:p>
            <w:pPr>
              <w:pStyle w:val="TableContents"/>
              <w:bidi w:val="0"/>
              <w:spacing w:before="0" w:after="20"/>
              <w:jc w:val="center"/>
              <w:rPr>
                <w:rFonts w:ascii="Times New Roman" w:hAnsi="Times New Roman"/>
                <w:sz w:val="20"/>
              </w:rPr>
            </w:pPr>
            <w:r>
              <w:rPr>
                <w:rFonts w:ascii="Times New Roman" w:hAnsi="Times New Roman"/>
                <w:sz w:val="20"/>
              </w:rPr>
              <w:t>Erifyli Tsironi</w:t>
            </w:r>
          </w:p>
        </w:tc>
        <w:tc>
          <w:tcPr>
            <w:tcW w:w="121" w:type="dxa"/>
            <w:tcBorders/>
            <w:vAlign w:val="bottom"/>
          </w:tcPr>
          <w:p>
            <w:pPr>
              <w:pStyle w:val="TableContents"/>
              <w:bidi w:val="0"/>
              <w:spacing w:before="0" w:after="283"/>
              <w:jc w:val="left"/>
              <w:rPr/>
            </w:pPr>
            <w:r>
              <w:rPr/>
              <w:t>  </w:t>
            </w:r>
          </w:p>
        </w:tc>
        <w:tc>
          <w:tcPr>
            <w:tcW w:w="3771"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 and Principal Accounting Officer)</w:t>
            </w:r>
          </w:p>
        </w:tc>
        <w:tc>
          <w:tcPr>
            <w:tcW w:w="121" w:type="dxa"/>
            <w:tcBorders/>
            <w:vAlign w:val="bottom"/>
          </w:tcPr>
          <w:p>
            <w:pPr>
              <w:pStyle w:val="TableContents"/>
              <w:bidi w:val="0"/>
              <w:spacing w:before="0" w:after="283"/>
              <w:jc w:val="left"/>
              <w:rPr/>
            </w:pPr>
            <w:r>
              <w:rPr/>
              <w:t>  </w:t>
            </w:r>
          </w:p>
        </w:tc>
        <w:tc>
          <w:tcPr>
            <w:tcW w:w="2898" w:type="dxa"/>
            <w:tcBorders/>
          </w:tcPr>
          <w:p>
            <w:pPr>
              <w:pStyle w:val="TableContents"/>
              <w:bidi w:val="0"/>
              <w:spacing w:before="0" w:after="283"/>
              <w:jc w:val="left"/>
              <w:rPr/>
            </w:pPr>
            <w:r>
              <w:rPr/>
              <w:t>May 11, 2023</w:t>
            </w:r>
          </w:p>
        </w:tc>
      </w:tr>
      <w:tr>
        <w:trPr>
          <w:trHeight w:val="120" w:hRule="atLeast"/>
        </w:trPr>
        <w:tc>
          <w:tcPr>
            <w:tcW w:w="3294" w:type="dxa"/>
            <w:tcBorders/>
            <w:vAlign w:val="center"/>
          </w:tcPr>
          <w:p>
            <w:pPr>
              <w:pStyle w:val="TableContents"/>
              <w:bidi w:val="0"/>
              <w:spacing w:before="0" w:after="283"/>
              <w:jc w:val="left"/>
              <w:rPr>
                <w:sz w:val="4"/>
                <w:szCs w:val="4"/>
              </w:rPr>
            </w:pPr>
            <w:r>
              <w:rPr>
                <w:sz w:val="4"/>
                <w:szCs w:val="4"/>
              </w:rPr>
            </w:r>
          </w:p>
        </w:tc>
        <w:tc>
          <w:tcPr>
            <w:tcW w:w="3892" w:type="dxa"/>
            <w:gridSpan w:val="2"/>
            <w:tcBorders/>
            <w:vAlign w:val="center"/>
          </w:tcPr>
          <w:p>
            <w:pPr>
              <w:pStyle w:val="TableContents"/>
              <w:bidi w:val="0"/>
              <w:spacing w:before="0" w:after="283"/>
              <w:jc w:val="left"/>
              <w:rPr>
                <w:sz w:val="4"/>
                <w:szCs w:val="4"/>
              </w:rPr>
            </w:pPr>
            <w:r>
              <w:rPr>
                <w:sz w:val="4"/>
                <w:szCs w:val="4"/>
              </w:rPr>
            </w:r>
          </w:p>
        </w:tc>
        <w:tc>
          <w:tcPr>
            <w:tcW w:w="3019" w:type="dxa"/>
            <w:gridSpan w:val="2"/>
            <w:tcBorders/>
            <w:vAlign w:val="center"/>
          </w:tcPr>
          <w:p>
            <w:pPr>
              <w:pStyle w:val="TableContents"/>
              <w:bidi w:val="0"/>
              <w:spacing w:before="0" w:after="283"/>
              <w:jc w:val="left"/>
              <w:rPr>
                <w:sz w:val="4"/>
                <w:szCs w:val="4"/>
              </w:rPr>
            </w:pPr>
            <w:r>
              <w:rPr>
                <w:sz w:val="4"/>
                <w:szCs w:val="4"/>
              </w:rPr>
            </w:r>
          </w:p>
        </w:tc>
      </w:tr>
      <w:tr>
        <w:trPr/>
        <w:tc>
          <w:tcPr>
            <w:tcW w:w="329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George Achniotis</w:t>
            </w:r>
          </w:p>
          <w:p>
            <w:pPr>
              <w:pStyle w:val="TableContents"/>
              <w:bidi w:val="0"/>
              <w:spacing w:before="0" w:after="20"/>
              <w:jc w:val="center"/>
              <w:rPr>
                <w:rFonts w:ascii="Times New Roman" w:hAnsi="Times New Roman"/>
                <w:sz w:val="20"/>
              </w:rPr>
            </w:pPr>
            <w:r>
              <w:rPr>
                <w:rFonts w:ascii="Times New Roman" w:hAnsi="Times New Roman"/>
                <w:sz w:val="20"/>
              </w:rPr>
              <w:t>George Achniotis</w:t>
            </w:r>
          </w:p>
        </w:tc>
        <w:tc>
          <w:tcPr>
            <w:tcW w:w="121" w:type="dxa"/>
            <w:tcBorders/>
            <w:vAlign w:val="bottom"/>
          </w:tcPr>
          <w:p>
            <w:pPr>
              <w:pStyle w:val="TableContents"/>
              <w:bidi w:val="0"/>
              <w:spacing w:before="0" w:after="283"/>
              <w:jc w:val="left"/>
              <w:rPr/>
            </w:pPr>
            <w:r>
              <w:rPr/>
              <w:t>  </w:t>
            </w:r>
          </w:p>
        </w:tc>
        <w:tc>
          <w:tcPr>
            <w:tcW w:w="3771" w:type="dxa"/>
            <w:tcBorders/>
          </w:tcPr>
          <w:p>
            <w:pPr>
              <w:pStyle w:val="TableContents"/>
              <w:bidi w:val="0"/>
              <w:spacing w:before="0" w:after="283"/>
              <w:jc w:val="left"/>
              <w:rPr/>
            </w:pPr>
            <w:r>
              <w:rPr/>
              <w:t>Director and Executive Vice President-Business Development</w:t>
            </w:r>
          </w:p>
        </w:tc>
        <w:tc>
          <w:tcPr>
            <w:tcW w:w="121" w:type="dxa"/>
            <w:tcBorders/>
            <w:vAlign w:val="bottom"/>
          </w:tcPr>
          <w:p>
            <w:pPr>
              <w:pStyle w:val="TableContents"/>
              <w:bidi w:val="0"/>
              <w:spacing w:before="0" w:after="283"/>
              <w:jc w:val="left"/>
              <w:rPr/>
            </w:pPr>
            <w:r>
              <w:rPr/>
              <w:t>  </w:t>
            </w:r>
          </w:p>
        </w:tc>
        <w:tc>
          <w:tcPr>
            <w:tcW w:w="2898" w:type="dxa"/>
            <w:tcBorders/>
          </w:tcPr>
          <w:p>
            <w:pPr>
              <w:pStyle w:val="TableContents"/>
              <w:bidi w:val="0"/>
              <w:spacing w:before="0" w:after="283"/>
              <w:jc w:val="left"/>
              <w:rPr/>
            </w:pPr>
            <w:r>
              <w:rPr/>
              <w:t>May 11, 2023</w:t>
            </w:r>
          </w:p>
        </w:tc>
      </w:tr>
      <w:tr>
        <w:trPr>
          <w:trHeight w:val="120" w:hRule="atLeast"/>
        </w:trPr>
        <w:tc>
          <w:tcPr>
            <w:tcW w:w="3294" w:type="dxa"/>
            <w:tcBorders/>
            <w:vAlign w:val="center"/>
          </w:tcPr>
          <w:p>
            <w:pPr>
              <w:pStyle w:val="TableContents"/>
              <w:bidi w:val="0"/>
              <w:spacing w:before="0" w:after="283"/>
              <w:jc w:val="left"/>
              <w:rPr>
                <w:sz w:val="4"/>
                <w:szCs w:val="4"/>
              </w:rPr>
            </w:pPr>
            <w:r>
              <w:rPr>
                <w:sz w:val="4"/>
                <w:szCs w:val="4"/>
              </w:rPr>
            </w:r>
          </w:p>
        </w:tc>
        <w:tc>
          <w:tcPr>
            <w:tcW w:w="3892" w:type="dxa"/>
            <w:gridSpan w:val="2"/>
            <w:tcBorders/>
            <w:vAlign w:val="center"/>
          </w:tcPr>
          <w:p>
            <w:pPr>
              <w:pStyle w:val="TableContents"/>
              <w:bidi w:val="0"/>
              <w:spacing w:before="0" w:after="283"/>
              <w:jc w:val="left"/>
              <w:rPr>
                <w:sz w:val="4"/>
                <w:szCs w:val="4"/>
              </w:rPr>
            </w:pPr>
            <w:r>
              <w:rPr>
                <w:sz w:val="4"/>
                <w:szCs w:val="4"/>
              </w:rPr>
            </w:r>
          </w:p>
        </w:tc>
        <w:tc>
          <w:tcPr>
            <w:tcW w:w="3019" w:type="dxa"/>
            <w:gridSpan w:val="2"/>
            <w:tcBorders/>
            <w:vAlign w:val="center"/>
          </w:tcPr>
          <w:p>
            <w:pPr>
              <w:pStyle w:val="TableContents"/>
              <w:bidi w:val="0"/>
              <w:spacing w:before="0" w:after="283"/>
              <w:jc w:val="left"/>
              <w:rPr>
                <w:sz w:val="4"/>
                <w:szCs w:val="4"/>
              </w:rPr>
            </w:pPr>
            <w:r>
              <w:rPr>
                <w:sz w:val="4"/>
                <w:szCs w:val="4"/>
              </w:rPr>
            </w:r>
          </w:p>
        </w:tc>
      </w:tr>
      <w:tr>
        <w:trPr/>
        <w:tc>
          <w:tcPr>
            <w:tcW w:w="329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Shunji Sasada</w:t>
            </w:r>
          </w:p>
          <w:p>
            <w:pPr>
              <w:pStyle w:val="TableContents"/>
              <w:bidi w:val="0"/>
              <w:spacing w:before="0" w:after="20"/>
              <w:jc w:val="center"/>
              <w:rPr>
                <w:rFonts w:ascii="Times New Roman" w:hAnsi="Times New Roman"/>
                <w:sz w:val="20"/>
              </w:rPr>
            </w:pPr>
            <w:r>
              <w:rPr>
                <w:rFonts w:ascii="Times New Roman" w:hAnsi="Times New Roman"/>
                <w:sz w:val="20"/>
              </w:rPr>
              <w:t>Shunji Sasada</w:t>
            </w:r>
          </w:p>
        </w:tc>
        <w:tc>
          <w:tcPr>
            <w:tcW w:w="121" w:type="dxa"/>
            <w:tcBorders/>
            <w:vAlign w:val="bottom"/>
          </w:tcPr>
          <w:p>
            <w:pPr>
              <w:pStyle w:val="TableContents"/>
              <w:bidi w:val="0"/>
              <w:spacing w:before="0" w:after="283"/>
              <w:jc w:val="left"/>
              <w:rPr/>
            </w:pPr>
            <w:r>
              <w:rPr/>
              <w:t>  </w:t>
            </w:r>
          </w:p>
        </w:tc>
        <w:tc>
          <w:tcPr>
            <w:tcW w:w="3771" w:type="dxa"/>
            <w:tcBorders/>
          </w:tcPr>
          <w:p>
            <w:pPr>
              <w:pStyle w:val="TableContents"/>
              <w:bidi w:val="0"/>
              <w:spacing w:before="0" w:after="283"/>
              <w:jc w:val="left"/>
              <w:rPr/>
            </w:pPr>
            <w:r>
              <w:rPr/>
              <w:t>Director</w:t>
            </w:r>
          </w:p>
        </w:tc>
        <w:tc>
          <w:tcPr>
            <w:tcW w:w="121" w:type="dxa"/>
            <w:tcBorders/>
            <w:vAlign w:val="bottom"/>
          </w:tcPr>
          <w:p>
            <w:pPr>
              <w:pStyle w:val="TableContents"/>
              <w:bidi w:val="0"/>
              <w:spacing w:before="0" w:after="283"/>
              <w:jc w:val="left"/>
              <w:rPr/>
            </w:pPr>
            <w:r>
              <w:rPr/>
              <w:t>  </w:t>
            </w:r>
          </w:p>
        </w:tc>
        <w:tc>
          <w:tcPr>
            <w:tcW w:w="2898" w:type="dxa"/>
            <w:tcBorders/>
          </w:tcPr>
          <w:p>
            <w:pPr>
              <w:pStyle w:val="TableContents"/>
              <w:bidi w:val="0"/>
              <w:spacing w:before="0" w:after="283"/>
              <w:jc w:val="left"/>
              <w:rPr/>
            </w:pPr>
            <w:r>
              <w:rPr/>
              <w:t>May 11, 2023</w:t>
            </w:r>
          </w:p>
        </w:tc>
      </w:tr>
      <w:tr>
        <w:trPr>
          <w:trHeight w:val="120" w:hRule="atLeast"/>
        </w:trPr>
        <w:tc>
          <w:tcPr>
            <w:tcW w:w="3294" w:type="dxa"/>
            <w:tcBorders/>
            <w:vAlign w:val="center"/>
          </w:tcPr>
          <w:p>
            <w:pPr>
              <w:pStyle w:val="TableContents"/>
              <w:bidi w:val="0"/>
              <w:spacing w:before="0" w:after="283"/>
              <w:jc w:val="left"/>
              <w:rPr>
                <w:sz w:val="4"/>
                <w:szCs w:val="4"/>
              </w:rPr>
            </w:pPr>
            <w:r>
              <w:rPr>
                <w:sz w:val="4"/>
                <w:szCs w:val="4"/>
              </w:rPr>
            </w:r>
          </w:p>
        </w:tc>
        <w:tc>
          <w:tcPr>
            <w:tcW w:w="3892" w:type="dxa"/>
            <w:gridSpan w:val="2"/>
            <w:tcBorders/>
            <w:vAlign w:val="center"/>
          </w:tcPr>
          <w:p>
            <w:pPr>
              <w:pStyle w:val="TableContents"/>
              <w:bidi w:val="0"/>
              <w:spacing w:before="0" w:after="283"/>
              <w:jc w:val="left"/>
              <w:rPr>
                <w:sz w:val="4"/>
                <w:szCs w:val="4"/>
              </w:rPr>
            </w:pPr>
            <w:r>
              <w:rPr>
                <w:sz w:val="4"/>
                <w:szCs w:val="4"/>
              </w:rPr>
            </w:r>
          </w:p>
        </w:tc>
        <w:tc>
          <w:tcPr>
            <w:tcW w:w="3019" w:type="dxa"/>
            <w:gridSpan w:val="2"/>
            <w:tcBorders/>
            <w:vAlign w:val="center"/>
          </w:tcPr>
          <w:p>
            <w:pPr>
              <w:pStyle w:val="TableContents"/>
              <w:bidi w:val="0"/>
              <w:spacing w:before="0" w:after="283"/>
              <w:jc w:val="left"/>
              <w:rPr>
                <w:sz w:val="4"/>
                <w:szCs w:val="4"/>
              </w:rPr>
            </w:pPr>
            <w:r>
              <w:rPr>
                <w:sz w:val="4"/>
                <w:szCs w:val="4"/>
              </w:rPr>
            </w:r>
          </w:p>
        </w:tc>
      </w:tr>
      <w:tr>
        <w:trPr/>
        <w:tc>
          <w:tcPr>
            <w:tcW w:w="329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Serafeim Kriempardis</w:t>
            </w:r>
          </w:p>
          <w:p>
            <w:pPr>
              <w:pStyle w:val="TableContents"/>
              <w:bidi w:val="0"/>
              <w:spacing w:before="0" w:after="20"/>
              <w:jc w:val="center"/>
              <w:rPr>
                <w:rFonts w:ascii="Times New Roman" w:hAnsi="Times New Roman"/>
                <w:sz w:val="20"/>
              </w:rPr>
            </w:pPr>
            <w:r>
              <w:rPr>
                <w:rFonts w:ascii="Times New Roman" w:hAnsi="Times New Roman"/>
                <w:sz w:val="20"/>
              </w:rPr>
              <w:t>Serafeim Kriempardis</w:t>
            </w:r>
          </w:p>
        </w:tc>
        <w:tc>
          <w:tcPr>
            <w:tcW w:w="121" w:type="dxa"/>
            <w:tcBorders/>
            <w:vAlign w:val="bottom"/>
          </w:tcPr>
          <w:p>
            <w:pPr>
              <w:pStyle w:val="TableContents"/>
              <w:bidi w:val="0"/>
              <w:spacing w:before="0" w:after="283"/>
              <w:jc w:val="left"/>
              <w:rPr/>
            </w:pPr>
            <w:r>
              <w:rPr/>
              <w:t>  </w:t>
            </w:r>
          </w:p>
        </w:tc>
        <w:tc>
          <w:tcPr>
            <w:tcW w:w="3771" w:type="dxa"/>
            <w:tcBorders/>
          </w:tcPr>
          <w:p>
            <w:pPr>
              <w:pStyle w:val="TableContents"/>
              <w:bidi w:val="0"/>
              <w:spacing w:before="0" w:after="283"/>
              <w:jc w:val="left"/>
              <w:rPr/>
            </w:pPr>
            <w:r>
              <w:rPr/>
              <w:t>Director</w:t>
            </w:r>
          </w:p>
        </w:tc>
        <w:tc>
          <w:tcPr>
            <w:tcW w:w="121" w:type="dxa"/>
            <w:tcBorders/>
            <w:vAlign w:val="bottom"/>
          </w:tcPr>
          <w:p>
            <w:pPr>
              <w:pStyle w:val="TableContents"/>
              <w:bidi w:val="0"/>
              <w:spacing w:before="0" w:after="283"/>
              <w:jc w:val="left"/>
              <w:rPr/>
            </w:pPr>
            <w:r>
              <w:rPr/>
              <w:t>  </w:t>
            </w:r>
          </w:p>
        </w:tc>
        <w:tc>
          <w:tcPr>
            <w:tcW w:w="2898" w:type="dxa"/>
            <w:tcBorders/>
          </w:tcPr>
          <w:p>
            <w:pPr>
              <w:pStyle w:val="TableContents"/>
              <w:bidi w:val="0"/>
              <w:spacing w:before="0" w:after="283"/>
              <w:jc w:val="left"/>
              <w:rPr/>
            </w:pPr>
            <w:r>
              <w:rPr/>
              <w:t>May 11, 2023</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562"/>
        <w:gridCol w:w="120"/>
        <w:gridCol w:w="3246"/>
        <w:gridCol w:w="120"/>
        <w:gridCol w:w="3157"/>
      </w:tblGrid>
      <w:tr>
        <w:trPr/>
        <w:tc>
          <w:tcPr>
            <w:tcW w:w="35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562" w:type="dxa"/>
            <w:tcBorders/>
            <w:vAlign w:val="center"/>
          </w:tcPr>
          <w:p>
            <w:pPr>
              <w:pStyle w:val="TableContents"/>
              <w:bidi w:val="0"/>
              <w:spacing w:before="0" w:after="283"/>
              <w:jc w:val="left"/>
              <w:rPr>
                <w:sz w:val="4"/>
                <w:szCs w:val="4"/>
              </w:rPr>
            </w:pPr>
            <w:r>
              <w:rPr>
                <w:sz w:val="4"/>
                <w:szCs w:val="4"/>
              </w:rPr>
            </w:r>
          </w:p>
        </w:tc>
        <w:tc>
          <w:tcPr>
            <w:tcW w:w="3366" w:type="dxa"/>
            <w:gridSpan w:val="2"/>
            <w:tcBorders/>
            <w:vAlign w:val="center"/>
          </w:tcPr>
          <w:p>
            <w:pPr>
              <w:pStyle w:val="TableContents"/>
              <w:bidi w:val="0"/>
              <w:spacing w:before="0" w:after="283"/>
              <w:jc w:val="left"/>
              <w:rPr>
                <w:sz w:val="4"/>
                <w:szCs w:val="4"/>
              </w:rPr>
            </w:pPr>
            <w:r>
              <w:rPr>
                <w:sz w:val="4"/>
                <w:szCs w:val="4"/>
              </w:rPr>
            </w:r>
          </w:p>
        </w:tc>
        <w:tc>
          <w:tcPr>
            <w:tcW w:w="3277" w:type="dxa"/>
            <w:gridSpan w:val="2"/>
            <w:tcBorders/>
            <w:vAlign w:val="center"/>
          </w:tcPr>
          <w:p>
            <w:pPr>
              <w:pStyle w:val="TableContents"/>
              <w:bidi w:val="0"/>
              <w:spacing w:before="0" w:after="283"/>
              <w:jc w:val="left"/>
              <w:rPr>
                <w:sz w:val="4"/>
                <w:szCs w:val="4"/>
              </w:rPr>
            </w:pPr>
            <w:r>
              <w:rPr>
                <w:sz w:val="4"/>
                <w:szCs w:val="4"/>
              </w:rPr>
            </w:r>
          </w:p>
        </w:tc>
      </w:tr>
      <w:tr>
        <w:trPr/>
        <w:tc>
          <w:tcPr>
            <w:tcW w:w="356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Vasilios Mouyis</w:t>
            </w:r>
          </w:p>
          <w:p>
            <w:pPr>
              <w:pStyle w:val="TableContents"/>
              <w:bidi w:val="0"/>
              <w:spacing w:before="0" w:after="20"/>
              <w:jc w:val="center"/>
              <w:rPr>
                <w:rFonts w:ascii="Times New Roman" w:hAnsi="Times New Roman"/>
                <w:sz w:val="20"/>
              </w:rPr>
            </w:pPr>
            <w:r>
              <w:rPr>
                <w:rFonts w:ascii="Times New Roman" w:hAnsi="Times New Roman"/>
                <w:sz w:val="20"/>
              </w:rPr>
              <w:t>Vasilios Mouyis</w:t>
            </w:r>
          </w:p>
        </w:tc>
        <w:tc>
          <w:tcPr>
            <w:tcW w:w="120" w:type="dxa"/>
            <w:tcBorders/>
            <w:vAlign w:val="bottom"/>
          </w:tcPr>
          <w:p>
            <w:pPr>
              <w:pStyle w:val="TableContents"/>
              <w:bidi w:val="0"/>
              <w:spacing w:before="0" w:after="283"/>
              <w:jc w:val="left"/>
              <w:rPr/>
            </w:pPr>
            <w:r>
              <w:rPr/>
              <w:t>  </w:t>
            </w:r>
          </w:p>
        </w:tc>
        <w:tc>
          <w:tcPr>
            <w:tcW w:w="3246"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3157" w:type="dxa"/>
            <w:tcBorders/>
          </w:tcPr>
          <w:p>
            <w:pPr>
              <w:pStyle w:val="TableContents"/>
              <w:bidi w:val="0"/>
              <w:spacing w:before="0" w:after="283"/>
              <w:jc w:val="left"/>
              <w:rPr/>
            </w:pPr>
            <w:r>
              <w:rPr/>
              <w:t>May 11, 2023</w:t>
            </w:r>
          </w:p>
        </w:tc>
      </w:tr>
      <w:tr>
        <w:trPr>
          <w:trHeight w:val="120" w:hRule="atLeast"/>
        </w:trPr>
        <w:tc>
          <w:tcPr>
            <w:tcW w:w="3562" w:type="dxa"/>
            <w:tcBorders/>
            <w:vAlign w:val="center"/>
          </w:tcPr>
          <w:p>
            <w:pPr>
              <w:pStyle w:val="TableContents"/>
              <w:bidi w:val="0"/>
              <w:spacing w:before="0" w:after="283"/>
              <w:jc w:val="left"/>
              <w:rPr>
                <w:sz w:val="4"/>
                <w:szCs w:val="4"/>
              </w:rPr>
            </w:pPr>
            <w:r>
              <w:rPr>
                <w:sz w:val="4"/>
                <w:szCs w:val="4"/>
              </w:rPr>
            </w:r>
          </w:p>
        </w:tc>
        <w:tc>
          <w:tcPr>
            <w:tcW w:w="3366" w:type="dxa"/>
            <w:gridSpan w:val="2"/>
            <w:tcBorders/>
            <w:vAlign w:val="center"/>
          </w:tcPr>
          <w:p>
            <w:pPr>
              <w:pStyle w:val="TableContents"/>
              <w:bidi w:val="0"/>
              <w:spacing w:before="0" w:after="283"/>
              <w:jc w:val="left"/>
              <w:rPr>
                <w:sz w:val="4"/>
                <w:szCs w:val="4"/>
              </w:rPr>
            </w:pPr>
            <w:r>
              <w:rPr>
                <w:sz w:val="4"/>
                <w:szCs w:val="4"/>
              </w:rPr>
            </w:r>
          </w:p>
        </w:tc>
        <w:tc>
          <w:tcPr>
            <w:tcW w:w="3277" w:type="dxa"/>
            <w:gridSpan w:val="2"/>
            <w:tcBorders/>
            <w:vAlign w:val="center"/>
          </w:tcPr>
          <w:p>
            <w:pPr>
              <w:pStyle w:val="TableContents"/>
              <w:bidi w:val="0"/>
              <w:spacing w:before="0" w:after="283"/>
              <w:jc w:val="left"/>
              <w:rPr>
                <w:sz w:val="4"/>
                <w:szCs w:val="4"/>
              </w:rPr>
            </w:pPr>
            <w:r>
              <w:rPr>
                <w:sz w:val="4"/>
                <w:szCs w:val="4"/>
              </w:rPr>
            </w:r>
          </w:p>
        </w:tc>
      </w:tr>
      <w:tr>
        <w:trPr/>
        <w:tc>
          <w:tcPr>
            <w:tcW w:w="356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Kunihide Akizawa</w:t>
            </w:r>
          </w:p>
          <w:p>
            <w:pPr>
              <w:pStyle w:val="TableContents"/>
              <w:bidi w:val="0"/>
              <w:spacing w:before="0" w:after="20"/>
              <w:jc w:val="center"/>
              <w:rPr>
                <w:rFonts w:ascii="Times New Roman" w:hAnsi="Times New Roman"/>
                <w:sz w:val="20"/>
              </w:rPr>
            </w:pPr>
            <w:r>
              <w:rPr>
                <w:rFonts w:ascii="Times New Roman" w:hAnsi="Times New Roman"/>
                <w:sz w:val="20"/>
              </w:rPr>
              <w:t>Kunihide Akizawa</w:t>
            </w:r>
          </w:p>
        </w:tc>
        <w:tc>
          <w:tcPr>
            <w:tcW w:w="120" w:type="dxa"/>
            <w:tcBorders/>
            <w:vAlign w:val="bottom"/>
          </w:tcPr>
          <w:p>
            <w:pPr>
              <w:pStyle w:val="TableContents"/>
              <w:bidi w:val="0"/>
              <w:spacing w:before="0" w:after="283"/>
              <w:jc w:val="left"/>
              <w:rPr/>
            </w:pPr>
            <w:r>
              <w:rPr/>
              <w:t>  </w:t>
            </w:r>
          </w:p>
        </w:tc>
        <w:tc>
          <w:tcPr>
            <w:tcW w:w="3246"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3157" w:type="dxa"/>
            <w:tcBorders/>
          </w:tcPr>
          <w:p>
            <w:pPr>
              <w:pStyle w:val="TableContents"/>
              <w:bidi w:val="0"/>
              <w:spacing w:before="0" w:after="283"/>
              <w:jc w:val="left"/>
              <w:rPr/>
            </w:pPr>
            <w:r>
              <w:rPr/>
              <w:t>May 11, 2023</w:t>
            </w:r>
          </w:p>
        </w:tc>
      </w:tr>
      <w:tr>
        <w:trPr>
          <w:trHeight w:val="120" w:hRule="atLeast"/>
        </w:trPr>
        <w:tc>
          <w:tcPr>
            <w:tcW w:w="3562" w:type="dxa"/>
            <w:tcBorders/>
            <w:vAlign w:val="center"/>
          </w:tcPr>
          <w:p>
            <w:pPr>
              <w:pStyle w:val="TableContents"/>
              <w:bidi w:val="0"/>
              <w:spacing w:before="0" w:after="283"/>
              <w:jc w:val="left"/>
              <w:rPr>
                <w:sz w:val="4"/>
                <w:szCs w:val="4"/>
              </w:rPr>
            </w:pPr>
            <w:r>
              <w:rPr>
                <w:sz w:val="4"/>
                <w:szCs w:val="4"/>
              </w:rPr>
            </w:r>
          </w:p>
        </w:tc>
        <w:tc>
          <w:tcPr>
            <w:tcW w:w="3366" w:type="dxa"/>
            <w:gridSpan w:val="2"/>
            <w:tcBorders/>
            <w:vAlign w:val="center"/>
          </w:tcPr>
          <w:p>
            <w:pPr>
              <w:pStyle w:val="TableContents"/>
              <w:bidi w:val="0"/>
              <w:spacing w:before="0" w:after="283"/>
              <w:jc w:val="left"/>
              <w:rPr>
                <w:sz w:val="4"/>
                <w:szCs w:val="4"/>
              </w:rPr>
            </w:pPr>
            <w:r>
              <w:rPr>
                <w:sz w:val="4"/>
                <w:szCs w:val="4"/>
              </w:rPr>
            </w:r>
          </w:p>
        </w:tc>
        <w:tc>
          <w:tcPr>
            <w:tcW w:w="3277" w:type="dxa"/>
            <w:gridSpan w:val="2"/>
            <w:tcBorders/>
            <w:vAlign w:val="center"/>
          </w:tcPr>
          <w:p>
            <w:pPr>
              <w:pStyle w:val="TableContents"/>
              <w:bidi w:val="0"/>
              <w:spacing w:before="0" w:after="283"/>
              <w:jc w:val="left"/>
              <w:rPr>
                <w:sz w:val="4"/>
                <w:szCs w:val="4"/>
              </w:rPr>
            </w:pPr>
            <w:r>
              <w:rPr>
                <w:sz w:val="4"/>
                <w:szCs w:val="4"/>
              </w:rPr>
            </w:r>
          </w:p>
        </w:tc>
      </w:tr>
      <w:tr>
        <w:trPr/>
        <w:tc>
          <w:tcPr>
            <w:tcW w:w="356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Alexander Kalafatides</w:t>
            </w:r>
          </w:p>
          <w:p>
            <w:pPr>
              <w:pStyle w:val="TableContents"/>
              <w:bidi w:val="0"/>
              <w:spacing w:before="0" w:after="20"/>
              <w:jc w:val="center"/>
              <w:rPr>
                <w:rFonts w:ascii="Times New Roman" w:hAnsi="Times New Roman"/>
                <w:sz w:val="20"/>
              </w:rPr>
            </w:pPr>
            <w:r>
              <w:rPr>
                <w:rFonts w:ascii="Times New Roman" w:hAnsi="Times New Roman"/>
                <w:sz w:val="20"/>
              </w:rPr>
              <w:t>Alexander Kalafatides</w:t>
            </w:r>
          </w:p>
        </w:tc>
        <w:tc>
          <w:tcPr>
            <w:tcW w:w="120" w:type="dxa"/>
            <w:tcBorders/>
            <w:vAlign w:val="bottom"/>
          </w:tcPr>
          <w:p>
            <w:pPr>
              <w:pStyle w:val="TableContents"/>
              <w:bidi w:val="0"/>
              <w:spacing w:before="0" w:after="283"/>
              <w:jc w:val="left"/>
              <w:rPr/>
            </w:pPr>
            <w:r>
              <w:rPr/>
              <w:t>  </w:t>
            </w:r>
          </w:p>
        </w:tc>
        <w:tc>
          <w:tcPr>
            <w:tcW w:w="3246"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3157" w:type="dxa"/>
            <w:tcBorders/>
          </w:tcPr>
          <w:p>
            <w:pPr>
              <w:pStyle w:val="TableContents"/>
              <w:bidi w:val="0"/>
              <w:spacing w:before="0" w:after="283"/>
              <w:jc w:val="left"/>
              <w:rPr/>
            </w:pPr>
            <w:r>
              <w:rPr/>
              <w:t>May 11, 2023</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 OF AUTHORIZED REPRESENTATIVE OF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Securities Act of 1933, as amended, the undersigned, a duly authorized representative of Navios Maritime Partners L.P. in the United States, has signed the Registration Statement in the City of Newark, State of Delaware on the 11th day of May,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8"/>
        <w:gridCol w:w="60"/>
        <w:gridCol w:w="3634"/>
      </w:tblGrid>
      <w:tr>
        <w:trPr/>
        <w:tc>
          <w:tcPr>
            <w:tcW w:w="3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PUGLISI &amp; ASSOCIATES</w:t>
            </w:r>
          </w:p>
        </w:tc>
      </w:tr>
      <w:tr>
        <w:trPr>
          <w:trHeight w:val="240" w:hRule="atLeast"/>
        </w:trPr>
        <w:tc>
          <w:tcPr>
            <w:tcW w:w="388"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r>
      <w:tr>
        <w:trPr/>
        <w:tc>
          <w:tcPr>
            <w:tcW w:w="38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Donald J. Puglisi</w:t>
            </w:r>
          </w:p>
        </w:tc>
      </w:tr>
      <w:tr>
        <w:trPr/>
        <w:tc>
          <w:tcPr>
            <w:tcW w:w="38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4" w:type="dxa"/>
            <w:tcBorders/>
          </w:tcPr>
          <w:p>
            <w:pPr>
              <w:pStyle w:val="TableContents"/>
              <w:bidi w:val="0"/>
              <w:spacing w:before="0" w:after="283"/>
              <w:jc w:val="left"/>
              <w:rPr/>
            </w:pPr>
            <w:r>
              <w:rPr/>
              <w:t>Name: Donald J. Puglisi</w:t>
            </w:r>
          </w:p>
        </w:tc>
      </w:tr>
      <w:tr>
        <w:trPr/>
        <w:tc>
          <w:tcPr>
            <w:tcW w:w="38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4" w:type="dxa"/>
            <w:tcBorders/>
          </w:tcPr>
          <w:p>
            <w:pPr>
              <w:pStyle w:val="TableContents"/>
              <w:bidi w:val="0"/>
              <w:spacing w:before="0" w:after="283"/>
              <w:jc w:val="left"/>
              <w:rPr/>
            </w:pPr>
            <w:r>
              <w:rPr/>
              <w:t>Title: Managing Director</w:t>
            </w:r>
          </w:p>
        </w:tc>
      </w:tr>
    </w:tbl>
    <w:p>
      <w:pPr>
        <w:pStyle w:val="TextBody"/>
        <w:bidi w:val="0"/>
        <w:spacing w:before="0" w:after="0"/>
        <w:jc w:val="right"/>
        <w:rPr>
          <w:rFonts w:ascii="Times New Roman" w:hAnsi="Times New Roman"/>
          <w:b/>
          <w:sz w:val="20"/>
        </w:rPr>
      </w:pPr>
      <w:bookmarkStart w:id="27" w:name="d398843dex41.htm"/>
      <w:bookmarkStart w:id="28" w:name="ksd398843dex41"/>
      <w:bookmarkEnd w:id="27"/>
      <w:bookmarkEnd w:id="28"/>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Form of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NAVIOS MARITIME PARTNERS L.P. </w:t>
      </w:r>
    </w:p>
    <w:p>
      <w:pPr>
        <w:pStyle w:val="TextBody"/>
        <w:bidi w:val="0"/>
        <w:spacing w:before="240" w:after="0"/>
        <w:jc w:val="center"/>
        <w:rPr>
          <w:rFonts w:ascii="Times New Roman" w:hAnsi="Times New Roman"/>
          <w:sz w:val="20"/>
        </w:rPr>
      </w:pPr>
      <w:r>
        <w:rPr>
          <w:rFonts w:ascii="Times New Roman" w:hAnsi="Times New Roman"/>
          <w:sz w:val="20"/>
        </w:rPr>
        <w:t xml:space="preserve">ISSUER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INDENTURE TRUSTEE </w:t>
      </w:r>
    </w:p>
    <w:p>
      <w:pPr>
        <w:pStyle w:val="TextBody"/>
        <w:bidi w:val="0"/>
        <w:spacing w:before="240" w:after="0"/>
        <w:jc w:val="center"/>
        <w:rPr>
          <w:rFonts w:ascii="Times New Roman" w:hAnsi="Times New Roman"/>
          <w:sz w:val="20"/>
        </w:rPr>
      </w:pPr>
      <w:r>
        <w:rPr>
          <w:rFonts w:ascii="Times New Roman" w:hAnsi="Times New Roman"/>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 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3"/>
        <w:gridCol w:w="259"/>
        <w:gridCol w:w="96"/>
        <w:gridCol w:w="425"/>
        <w:gridCol w:w="62"/>
      </w:tblGrid>
      <w:tr>
        <w:trPr/>
        <w:tc>
          <w:tcPr>
            <w:tcW w:w="9363"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63"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521"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ARTICLE I DEFINITIONS AND INCORPORATION BY REFERENCE</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w:t>
            </w:r>
          </w:p>
        </w:tc>
        <w:tc>
          <w:tcPr>
            <w:tcW w:w="62" w:type="dxa"/>
            <w:tcBorders/>
          </w:tcPr>
          <w:p>
            <w:pPr>
              <w:pStyle w:val="TableContents"/>
              <w:bidi w:val="0"/>
              <w:spacing w:before="0" w:after="283"/>
              <w:jc w:val="left"/>
              <w:rPr/>
            </w:pPr>
            <w:r>
              <w:rPr/>
              <w:t> </w:t>
            </w:r>
          </w:p>
        </w:tc>
      </w:tr>
      <w:tr>
        <w:trPr>
          <w:trHeight w:val="120" w:hRule="atLeast"/>
        </w:trPr>
        <w:tc>
          <w:tcPr>
            <w:tcW w:w="9363" w:type="dxa"/>
            <w:tcBorders/>
            <w:vAlign w:val="center"/>
          </w:tcPr>
          <w:p>
            <w:pPr>
              <w:pStyle w:val="TableContents"/>
              <w:bidi w:val="0"/>
              <w:spacing w:before="0" w:after="283"/>
              <w:jc w:val="left"/>
              <w:rPr>
                <w:sz w:val="4"/>
                <w:szCs w:val="4"/>
              </w:rPr>
            </w:pPr>
            <w:r>
              <w:rPr>
                <w:sz w:val="4"/>
                <w:szCs w:val="4"/>
              </w:rPr>
            </w:r>
          </w:p>
        </w:tc>
        <w:tc>
          <w:tcPr>
            <w:tcW w:w="842" w:type="dxa"/>
            <w:gridSpan w:val="4"/>
            <w:tcBorders/>
            <w:vAlign w:val="center"/>
          </w:tcPr>
          <w:p>
            <w:pPr>
              <w:pStyle w:val="TableContents"/>
              <w:bidi w:val="0"/>
              <w:spacing w:before="0" w:after="283"/>
              <w:jc w:val="left"/>
              <w:rPr>
                <w:sz w:val="4"/>
                <w:szCs w:val="4"/>
              </w:rPr>
            </w:pPr>
            <w:r>
              <w:rPr>
                <w:sz w:val="4"/>
                <w:szCs w:val="4"/>
              </w:rPr>
            </w:r>
          </w:p>
        </w:tc>
      </w:tr>
      <w:tr>
        <w:trPr/>
        <w:tc>
          <w:tcPr>
            <w:tcW w:w="9363" w:type="dxa"/>
            <w:tcBorders/>
          </w:tcPr>
          <w:p>
            <w:pPr>
              <w:pStyle w:val="TableContents"/>
              <w:bidi w:val="0"/>
              <w:spacing w:before="0" w:after="283"/>
              <w:jc w:val="left"/>
              <w:rPr/>
            </w:pPr>
            <w:r>
              <w:rPr/>
              <w:t>Section 1.01 Definitions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1.02 Other Definitions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4</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1.03 Incorporation by Reference of Trust Indenture Act</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4</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1.04 Rules of Construction</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4</w:t>
            </w:r>
          </w:p>
        </w:tc>
        <w:tc>
          <w:tcPr>
            <w:tcW w:w="62" w:type="dxa"/>
            <w:tcBorders/>
          </w:tcPr>
          <w:p>
            <w:pPr>
              <w:pStyle w:val="TableContents"/>
              <w:bidi w:val="0"/>
              <w:spacing w:before="0" w:after="283"/>
              <w:jc w:val="left"/>
              <w:rPr/>
            </w:pPr>
            <w:r>
              <w:rPr/>
              <w:t> </w:t>
            </w:r>
          </w:p>
        </w:tc>
      </w:tr>
      <w:tr>
        <w:trPr>
          <w:trHeight w:val="120" w:hRule="atLeast"/>
        </w:trPr>
        <w:tc>
          <w:tcPr>
            <w:tcW w:w="9363" w:type="dxa"/>
            <w:tcBorders/>
            <w:vAlign w:val="center"/>
          </w:tcPr>
          <w:p>
            <w:pPr>
              <w:pStyle w:val="TableContents"/>
              <w:bidi w:val="0"/>
              <w:spacing w:before="0" w:after="283"/>
              <w:jc w:val="left"/>
              <w:rPr>
                <w:sz w:val="4"/>
                <w:szCs w:val="4"/>
              </w:rPr>
            </w:pPr>
            <w:r>
              <w:rPr>
                <w:sz w:val="4"/>
                <w:szCs w:val="4"/>
              </w:rPr>
            </w:r>
          </w:p>
        </w:tc>
        <w:tc>
          <w:tcPr>
            <w:tcW w:w="842" w:type="dxa"/>
            <w:gridSpan w:val="4"/>
            <w:tcBorders/>
            <w:vAlign w:val="center"/>
          </w:tcPr>
          <w:p>
            <w:pPr>
              <w:pStyle w:val="TableContents"/>
              <w:bidi w:val="0"/>
              <w:spacing w:before="0" w:after="283"/>
              <w:jc w:val="left"/>
              <w:rPr>
                <w:sz w:val="4"/>
                <w:szCs w:val="4"/>
              </w:rPr>
            </w:pPr>
            <w:r>
              <w:rPr>
                <w:sz w:val="4"/>
                <w:szCs w:val="4"/>
              </w:rPr>
            </w:r>
          </w:p>
        </w:tc>
      </w:tr>
      <w:tr>
        <w:trPr/>
        <w:tc>
          <w:tcPr>
            <w:tcW w:w="9363" w:type="dxa"/>
            <w:tcBorders/>
          </w:tcPr>
          <w:p>
            <w:pPr>
              <w:pStyle w:val="TableContents"/>
              <w:bidi w:val="0"/>
              <w:spacing w:before="0" w:after="283"/>
              <w:jc w:val="left"/>
              <w:rPr/>
            </w:pPr>
            <w:r>
              <w:rPr/>
              <w:t>ARTICLE II THE SECURITIES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5</w:t>
            </w:r>
          </w:p>
        </w:tc>
        <w:tc>
          <w:tcPr>
            <w:tcW w:w="62" w:type="dxa"/>
            <w:tcBorders/>
          </w:tcPr>
          <w:p>
            <w:pPr>
              <w:pStyle w:val="TableContents"/>
              <w:bidi w:val="0"/>
              <w:spacing w:before="0" w:after="283"/>
              <w:jc w:val="left"/>
              <w:rPr/>
            </w:pPr>
            <w:r>
              <w:rPr/>
              <w:t> </w:t>
            </w:r>
          </w:p>
        </w:tc>
      </w:tr>
      <w:tr>
        <w:trPr>
          <w:trHeight w:val="120" w:hRule="atLeast"/>
        </w:trPr>
        <w:tc>
          <w:tcPr>
            <w:tcW w:w="9363" w:type="dxa"/>
            <w:tcBorders/>
            <w:vAlign w:val="center"/>
          </w:tcPr>
          <w:p>
            <w:pPr>
              <w:pStyle w:val="TableContents"/>
              <w:bidi w:val="0"/>
              <w:spacing w:before="0" w:after="283"/>
              <w:jc w:val="left"/>
              <w:rPr>
                <w:sz w:val="4"/>
                <w:szCs w:val="4"/>
              </w:rPr>
            </w:pPr>
            <w:r>
              <w:rPr>
                <w:sz w:val="4"/>
                <w:szCs w:val="4"/>
              </w:rPr>
            </w:r>
          </w:p>
        </w:tc>
        <w:tc>
          <w:tcPr>
            <w:tcW w:w="842" w:type="dxa"/>
            <w:gridSpan w:val="4"/>
            <w:tcBorders/>
            <w:vAlign w:val="center"/>
          </w:tcPr>
          <w:p>
            <w:pPr>
              <w:pStyle w:val="TableContents"/>
              <w:bidi w:val="0"/>
              <w:spacing w:before="0" w:after="283"/>
              <w:jc w:val="left"/>
              <w:rPr>
                <w:sz w:val="4"/>
                <w:szCs w:val="4"/>
              </w:rPr>
            </w:pPr>
            <w:r>
              <w:rPr>
                <w:sz w:val="4"/>
                <w:szCs w:val="4"/>
              </w:rPr>
            </w:r>
          </w:p>
        </w:tc>
      </w:tr>
      <w:tr>
        <w:trPr/>
        <w:tc>
          <w:tcPr>
            <w:tcW w:w="9363" w:type="dxa"/>
            <w:tcBorders/>
          </w:tcPr>
          <w:p>
            <w:pPr>
              <w:pStyle w:val="TableContents"/>
              <w:bidi w:val="0"/>
              <w:spacing w:before="0" w:after="283"/>
              <w:jc w:val="left"/>
              <w:rPr/>
            </w:pPr>
            <w:r>
              <w:rPr/>
              <w:t>Section 2.01 Issuable in Series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5</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2.02 Establishment of Terms of Series of Securities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5</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2.03 Execution and Authentication</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6</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2.04 Registrar and Paying Agent</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6</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2.05 Paying Agent to Hold Money in Trust</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7</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2.06 Holder Lists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7</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2.07 Transfer and Exchange</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7</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2.08 Mutilated, Destroyed, Lost and Stolen Securities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7</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2.09 Outstanding Securities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8</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2.10 Treasury Securities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8</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2.11 Temporary Securities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8</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2.12 Cancellation</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8</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2.13 Defaulted Interest</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8</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2.14 Global Securities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8</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2.15 CUSIP Numbers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9</w:t>
            </w:r>
          </w:p>
        </w:tc>
        <w:tc>
          <w:tcPr>
            <w:tcW w:w="62" w:type="dxa"/>
            <w:tcBorders/>
          </w:tcPr>
          <w:p>
            <w:pPr>
              <w:pStyle w:val="TableContents"/>
              <w:bidi w:val="0"/>
              <w:spacing w:before="0" w:after="283"/>
              <w:jc w:val="left"/>
              <w:rPr/>
            </w:pPr>
            <w:r>
              <w:rPr/>
              <w:t> </w:t>
            </w:r>
          </w:p>
        </w:tc>
      </w:tr>
      <w:tr>
        <w:trPr>
          <w:trHeight w:val="120" w:hRule="atLeast"/>
        </w:trPr>
        <w:tc>
          <w:tcPr>
            <w:tcW w:w="9363" w:type="dxa"/>
            <w:tcBorders/>
            <w:vAlign w:val="center"/>
          </w:tcPr>
          <w:p>
            <w:pPr>
              <w:pStyle w:val="TableContents"/>
              <w:bidi w:val="0"/>
              <w:spacing w:before="0" w:after="283"/>
              <w:jc w:val="left"/>
              <w:rPr>
                <w:sz w:val="4"/>
                <w:szCs w:val="4"/>
              </w:rPr>
            </w:pPr>
            <w:r>
              <w:rPr>
                <w:sz w:val="4"/>
                <w:szCs w:val="4"/>
              </w:rPr>
            </w:r>
          </w:p>
        </w:tc>
        <w:tc>
          <w:tcPr>
            <w:tcW w:w="842" w:type="dxa"/>
            <w:gridSpan w:val="4"/>
            <w:tcBorders/>
            <w:vAlign w:val="center"/>
          </w:tcPr>
          <w:p>
            <w:pPr>
              <w:pStyle w:val="TableContents"/>
              <w:bidi w:val="0"/>
              <w:spacing w:before="0" w:after="283"/>
              <w:jc w:val="left"/>
              <w:rPr>
                <w:sz w:val="4"/>
                <w:szCs w:val="4"/>
              </w:rPr>
            </w:pPr>
            <w:r>
              <w:rPr>
                <w:sz w:val="4"/>
                <w:szCs w:val="4"/>
              </w:rPr>
            </w:r>
          </w:p>
        </w:tc>
      </w:tr>
      <w:tr>
        <w:trPr/>
        <w:tc>
          <w:tcPr>
            <w:tcW w:w="9363" w:type="dxa"/>
            <w:tcBorders/>
          </w:tcPr>
          <w:p>
            <w:pPr>
              <w:pStyle w:val="TableContents"/>
              <w:bidi w:val="0"/>
              <w:spacing w:before="0" w:after="283"/>
              <w:jc w:val="left"/>
              <w:rPr/>
            </w:pPr>
            <w:r>
              <w:rPr/>
              <w:t>ARTICLE III REDEMPTION</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9</w:t>
            </w:r>
          </w:p>
        </w:tc>
        <w:tc>
          <w:tcPr>
            <w:tcW w:w="62" w:type="dxa"/>
            <w:tcBorders/>
          </w:tcPr>
          <w:p>
            <w:pPr>
              <w:pStyle w:val="TableContents"/>
              <w:bidi w:val="0"/>
              <w:spacing w:before="0" w:after="283"/>
              <w:jc w:val="left"/>
              <w:rPr/>
            </w:pPr>
            <w:r>
              <w:rPr/>
              <w:t> </w:t>
            </w:r>
          </w:p>
        </w:tc>
      </w:tr>
      <w:tr>
        <w:trPr>
          <w:trHeight w:val="120" w:hRule="atLeast"/>
        </w:trPr>
        <w:tc>
          <w:tcPr>
            <w:tcW w:w="9363" w:type="dxa"/>
            <w:tcBorders/>
            <w:vAlign w:val="center"/>
          </w:tcPr>
          <w:p>
            <w:pPr>
              <w:pStyle w:val="TableContents"/>
              <w:bidi w:val="0"/>
              <w:spacing w:before="0" w:after="283"/>
              <w:jc w:val="left"/>
              <w:rPr>
                <w:sz w:val="4"/>
                <w:szCs w:val="4"/>
              </w:rPr>
            </w:pPr>
            <w:r>
              <w:rPr>
                <w:sz w:val="4"/>
                <w:szCs w:val="4"/>
              </w:rPr>
            </w:r>
          </w:p>
        </w:tc>
        <w:tc>
          <w:tcPr>
            <w:tcW w:w="842" w:type="dxa"/>
            <w:gridSpan w:val="4"/>
            <w:tcBorders/>
            <w:vAlign w:val="center"/>
          </w:tcPr>
          <w:p>
            <w:pPr>
              <w:pStyle w:val="TableContents"/>
              <w:bidi w:val="0"/>
              <w:spacing w:before="0" w:after="283"/>
              <w:jc w:val="left"/>
              <w:rPr>
                <w:sz w:val="4"/>
                <w:szCs w:val="4"/>
              </w:rPr>
            </w:pPr>
            <w:r>
              <w:rPr>
                <w:sz w:val="4"/>
                <w:szCs w:val="4"/>
              </w:rPr>
            </w:r>
          </w:p>
        </w:tc>
      </w:tr>
      <w:tr>
        <w:trPr/>
        <w:tc>
          <w:tcPr>
            <w:tcW w:w="9363" w:type="dxa"/>
            <w:tcBorders/>
          </w:tcPr>
          <w:p>
            <w:pPr>
              <w:pStyle w:val="TableContents"/>
              <w:bidi w:val="0"/>
              <w:spacing w:before="0" w:after="283"/>
              <w:jc w:val="left"/>
              <w:rPr/>
            </w:pPr>
            <w:r>
              <w:rPr/>
              <w:t>Section 3.01 Notice to Trustee</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9</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3.02 Selection of Securities to be Redeemed</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9</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3.03 Notice of Redemption</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10</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3.04 Effect of Notice of Redemption</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10</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3.05 Deposit of Redemption Price</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10</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3.06 Securities Redeemed in Part</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10</w:t>
            </w:r>
          </w:p>
        </w:tc>
        <w:tc>
          <w:tcPr>
            <w:tcW w:w="62" w:type="dxa"/>
            <w:tcBorders/>
          </w:tcPr>
          <w:p>
            <w:pPr>
              <w:pStyle w:val="TableContents"/>
              <w:bidi w:val="0"/>
              <w:spacing w:before="0" w:after="283"/>
              <w:jc w:val="left"/>
              <w:rPr/>
            </w:pPr>
            <w:r>
              <w:rPr/>
              <w:t> </w:t>
            </w:r>
          </w:p>
        </w:tc>
      </w:tr>
      <w:tr>
        <w:trPr>
          <w:trHeight w:val="120" w:hRule="atLeast"/>
        </w:trPr>
        <w:tc>
          <w:tcPr>
            <w:tcW w:w="9363" w:type="dxa"/>
            <w:tcBorders/>
            <w:vAlign w:val="center"/>
          </w:tcPr>
          <w:p>
            <w:pPr>
              <w:pStyle w:val="TableContents"/>
              <w:bidi w:val="0"/>
              <w:spacing w:before="0" w:after="283"/>
              <w:jc w:val="left"/>
              <w:rPr>
                <w:sz w:val="4"/>
                <w:szCs w:val="4"/>
              </w:rPr>
            </w:pPr>
            <w:r>
              <w:rPr>
                <w:sz w:val="4"/>
                <w:szCs w:val="4"/>
              </w:rPr>
            </w:r>
          </w:p>
        </w:tc>
        <w:tc>
          <w:tcPr>
            <w:tcW w:w="842" w:type="dxa"/>
            <w:gridSpan w:val="4"/>
            <w:tcBorders/>
            <w:vAlign w:val="center"/>
          </w:tcPr>
          <w:p>
            <w:pPr>
              <w:pStyle w:val="TableContents"/>
              <w:bidi w:val="0"/>
              <w:spacing w:before="0" w:after="283"/>
              <w:jc w:val="left"/>
              <w:rPr>
                <w:sz w:val="4"/>
                <w:szCs w:val="4"/>
              </w:rPr>
            </w:pPr>
            <w:r>
              <w:rPr>
                <w:sz w:val="4"/>
                <w:szCs w:val="4"/>
              </w:rPr>
            </w:r>
          </w:p>
        </w:tc>
      </w:tr>
      <w:tr>
        <w:trPr/>
        <w:tc>
          <w:tcPr>
            <w:tcW w:w="9363" w:type="dxa"/>
            <w:tcBorders/>
          </w:tcPr>
          <w:p>
            <w:pPr>
              <w:pStyle w:val="TableContents"/>
              <w:bidi w:val="0"/>
              <w:spacing w:before="0" w:after="283"/>
              <w:jc w:val="left"/>
              <w:rPr/>
            </w:pPr>
            <w:r>
              <w:rPr/>
              <w:t>ARTICLE IV COVENANTS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10</w:t>
            </w:r>
          </w:p>
        </w:tc>
        <w:tc>
          <w:tcPr>
            <w:tcW w:w="62" w:type="dxa"/>
            <w:tcBorders/>
          </w:tcPr>
          <w:p>
            <w:pPr>
              <w:pStyle w:val="TableContents"/>
              <w:bidi w:val="0"/>
              <w:spacing w:before="0" w:after="283"/>
              <w:jc w:val="left"/>
              <w:rPr/>
            </w:pPr>
            <w:r>
              <w:rPr/>
              <w:t> </w:t>
            </w:r>
          </w:p>
        </w:tc>
      </w:tr>
      <w:tr>
        <w:trPr>
          <w:trHeight w:val="120" w:hRule="atLeast"/>
        </w:trPr>
        <w:tc>
          <w:tcPr>
            <w:tcW w:w="9363" w:type="dxa"/>
            <w:tcBorders/>
            <w:vAlign w:val="center"/>
          </w:tcPr>
          <w:p>
            <w:pPr>
              <w:pStyle w:val="TableContents"/>
              <w:bidi w:val="0"/>
              <w:spacing w:before="0" w:after="283"/>
              <w:jc w:val="left"/>
              <w:rPr>
                <w:sz w:val="4"/>
                <w:szCs w:val="4"/>
              </w:rPr>
            </w:pPr>
            <w:r>
              <w:rPr>
                <w:sz w:val="4"/>
                <w:szCs w:val="4"/>
              </w:rPr>
            </w:r>
          </w:p>
        </w:tc>
        <w:tc>
          <w:tcPr>
            <w:tcW w:w="842" w:type="dxa"/>
            <w:gridSpan w:val="4"/>
            <w:tcBorders/>
            <w:vAlign w:val="center"/>
          </w:tcPr>
          <w:p>
            <w:pPr>
              <w:pStyle w:val="TableContents"/>
              <w:bidi w:val="0"/>
              <w:spacing w:before="0" w:after="283"/>
              <w:jc w:val="left"/>
              <w:rPr>
                <w:sz w:val="4"/>
                <w:szCs w:val="4"/>
              </w:rPr>
            </w:pPr>
            <w:r>
              <w:rPr>
                <w:sz w:val="4"/>
                <w:szCs w:val="4"/>
              </w:rPr>
            </w:r>
          </w:p>
        </w:tc>
      </w:tr>
      <w:tr>
        <w:trPr/>
        <w:tc>
          <w:tcPr>
            <w:tcW w:w="9363" w:type="dxa"/>
            <w:tcBorders/>
          </w:tcPr>
          <w:p>
            <w:pPr>
              <w:pStyle w:val="TableContents"/>
              <w:bidi w:val="0"/>
              <w:spacing w:before="0" w:after="283"/>
              <w:jc w:val="left"/>
              <w:rPr/>
            </w:pPr>
            <w:r>
              <w:rPr/>
              <w:t>Section 4.01 Payment of Principal and Interest</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10</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4.02 Commission Reports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10</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4.03 Compliance Certificate</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10</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4.04 Stay, Extension and Usury Laws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11</w:t>
            </w:r>
          </w:p>
        </w:tc>
        <w:tc>
          <w:tcPr>
            <w:tcW w:w="62" w:type="dxa"/>
            <w:tcBorders/>
          </w:tcPr>
          <w:p>
            <w:pPr>
              <w:pStyle w:val="TableContents"/>
              <w:bidi w:val="0"/>
              <w:spacing w:before="0" w:after="283"/>
              <w:jc w:val="left"/>
              <w:rPr/>
            </w:pPr>
            <w:r>
              <w:rPr/>
              <w:t> </w:t>
            </w:r>
          </w:p>
        </w:tc>
      </w:tr>
      <w:tr>
        <w:trPr>
          <w:trHeight w:val="120" w:hRule="atLeast"/>
        </w:trPr>
        <w:tc>
          <w:tcPr>
            <w:tcW w:w="9363" w:type="dxa"/>
            <w:tcBorders/>
            <w:vAlign w:val="center"/>
          </w:tcPr>
          <w:p>
            <w:pPr>
              <w:pStyle w:val="TableContents"/>
              <w:bidi w:val="0"/>
              <w:spacing w:before="0" w:after="283"/>
              <w:jc w:val="left"/>
              <w:rPr>
                <w:sz w:val="4"/>
                <w:szCs w:val="4"/>
              </w:rPr>
            </w:pPr>
            <w:r>
              <w:rPr>
                <w:sz w:val="4"/>
                <w:szCs w:val="4"/>
              </w:rPr>
            </w:r>
          </w:p>
        </w:tc>
        <w:tc>
          <w:tcPr>
            <w:tcW w:w="842" w:type="dxa"/>
            <w:gridSpan w:val="4"/>
            <w:tcBorders/>
            <w:vAlign w:val="center"/>
          </w:tcPr>
          <w:p>
            <w:pPr>
              <w:pStyle w:val="TableContents"/>
              <w:bidi w:val="0"/>
              <w:spacing w:before="0" w:after="283"/>
              <w:jc w:val="left"/>
              <w:rPr>
                <w:sz w:val="4"/>
                <w:szCs w:val="4"/>
              </w:rPr>
            </w:pPr>
            <w:r>
              <w:rPr>
                <w:sz w:val="4"/>
                <w:szCs w:val="4"/>
              </w:rPr>
            </w:r>
          </w:p>
        </w:tc>
      </w:tr>
      <w:tr>
        <w:trPr/>
        <w:tc>
          <w:tcPr>
            <w:tcW w:w="9363" w:type="dxa"/>
            <w:tcBorders/>
          </w:tcPr>
          <w:p>
            <w:pPr>
              <w:pStyle w:val="TableContents"/>
              <w:bidi w:val="0"/>
              <w:spacing w:before="0" w:after="283"/>
              <w:jc w:val="left"/>
              <w:rPr/>
            </w:pPr>
            <w:r>
              <w:rPr/>
              <w:t>ARTICLE V SUCCESSORS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11</w:t>
            </w:r>
          </w:p>
        </w:tc>
        <w:tc>
          <w:tcPr>
            <w:tcW w:w="62" w:type="dxa"/>
            <w:tcBorders/>
          </w:tcPr>
          <w:p>
            <w:pPr>
              <w:pStyle w:val="TableContents"/>
              <w:bidi w:val="0"/>
              <w:spacing w:before="0" w:after="283"/>
              <w:jc w:val="left"/>
              <w:rPr/>
            </w:pPr>
            <w:r>
              <w:rPr/>
              <w:t> </w:t>
            </w:r>
          </w:p>
        </w:tc>
      </w:tr>
      <w:tr>
        <w:trPr>
          <w:trHeight w:val="120" w:hRule="atLeast"/>
        </w:trPr>
        <w:tc>
          <w:tcPr>
            <w:tcW w:w="9363" w:type="dxa"/>
            <w:tcBorders/>
            <w:vAlign w:val="center"/>
          </w:tcPr>
          <w:p>
            <w:pPr>
              <w:pStyle w:val="TableContents"/>
              <w:bidi w:val="0"/>
              <w:spacing w:before="0" w:after="283"/>
              <w:jc w:val="left"/>
              <w:rPr>
                <w:sz w:val="4"/>
                <w:szCs w:val="4"/>
              </w:rPr>
            </w:pPr>
            <w:r>
              <w:rPr>
                <w:sz w:val="4"/>
                <w:szCs w:val="4"/>
              </w:rPr>
            </w:r>
          </w:p>
        </w:tc>
        <w:tc>
          <w:tcPr>
            <w:tcW w:w="842" w:type="dxa"/>
            <w:gridSpan w:val="4"/>
            <w:tcBorders/>
            <w:vAlign w:val="center"/>
          </w:tcPr>
          <w:p>
            <w:pPr>
              <w:pStyle w:val="TableContents"/>
              <w:bidi w:val="0"/>
              <w:spacing w:before="0" w:after="283"/>
              <w:jc w:val="left"/>
              <w:rPr>
                <w:sz w:val="4"/>
                <w:szCs w:val="4"/>
              </w:rPr>
            </w:pPr>
            <w:r>
              <w:rPr>
                <w:sz w:val="4"/>
                <w:szCs w:val="4"/>
              </w:rPr>
            </w:r>
          </w:p>
        </w:tc>
      </w:tr>
      <w:tr>
        <w:trPr/>
        <w:tc>
          <w:tcPr>
            <w:tcW w:w="9363" w:type="dxa"/>
            <w:tcBorders/>
          </w:tcPr>
          <w:p>
            <w:pPr>
              <w:pStyle w:val="TableContents"/>
              <w:bidi w:val="0"/>
              <w:spacing w:before="0" w:after="283"/>
              <w:jc w:val="left"/>
              <w:rPr/>
            </w:pPr>
            <w:r>
              <w:rPr/>
              <w:t>Section 5.01 When Company May Merge, Etc</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11</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5.02 Successor Entity Substituted</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11</w:t>
            </w:r>
          </w:p>
        </w:tc>
        <w:tc>
          <w:tcPr>
            <w:tcW w:w="62" w:type="dxa"/>
            <w:tcBorders/>
          </w:tcPr>
          <w:p>
            <w:pPr>
              <w:pStyle w:val="TableContents"/>
              <w:bidi w:val="0"/>
              <w:spacing w:before="0" w:after="283"/>
              <w:jc w:val="left"/>
              <w:rPr/>
            </w:pPr>
            <w:r>
              <w:rPr/>
              <w:t> </w:t>
            </w:r>
          </w:p>
        </w:tc>
      </w:tr>
      <w:tr>
        <w:trPr>
          <w:trHeight w:val="120" w:hRule="atLeast"/>
        </w:trPr>
        <w:tc>
          <w:tcPr>
            <w:tcW w:w="9363" w:type="dxa"/>
            <w:tcBorders/>
            <w:vAlign w:val="center"/>
          </w:tcPr>
          <w:p>
            <w:pPr>
              <w:pStyle w:val="TableContents"/>
              <w:bidi w:val="0"/>
              <w:spacing w:before="0" w:after="283"/>
              <w:jc w:val="left"/>
              <w:rPr>
                <w:sz w:val="4"/>
                <w:szCs w:val="4"/>
              </w:rPr>
            </w:pPr>
            <w:r>
              <w:rPr>
                <w:sz w:val="4"/>
                <w:szCs w:val="4"/>
              </w:rPr>
            </w:r>
          </w:p>
        </w:tc>
        <w:tc>
          <w:tcPr>
            <w:tcW w:w="842" w:type="dxa"/>
            <w:gridSpan w:val="4"/>
            <w:tcBorders/>
            <w:vAlign w:val="center"/>
          </w:tcPr>
          <w:p>
            <w:pPr>
              <w:pStyle w:val="TableContents"/>
              <w:bidi w:val="0"/>
              <w:spacing w:before="0" w:after="283"/>
              <w:jc w:val="left"/>
              <w:rPr>
                <w:sz w:val="4"/>
                <w:szCs w:val="4"/>
              </w:rPr>
            </w:pPr>
            <w:r>
              <w:rPr>
                <w:sz w:val="4"/>
                <w:szCs w:val="4"/>
              </w:rPr>
            </w:r>
          </w:p>
        </w:tc>
      </w:tr>
      <w:tr>
        <w:trPr/>
        <w:tc>
          <w:tcPr>
            <w:tcW w:w="9363" w:type="dxa"/>
            <w:tcBorders/>
          </w:tcPr>
          <w:p>
            <w:pPr>
              <w:pStyle w:val="TableContents"/>
              <w:bidi w:val="0"/>
              <w:spacing w:before="0" w:after="283"/>
              <w:jc w:val="left"/>
              <w:rPr/>
            </w:pPr>
            <w:r>
              <w:rPr/>
              <w:t>ARTICLE VI DEFAULTS AND REMEDIES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11</w:t>
            </w:r>
          </w:p>
        </w:tc>
        <w:tc>
          <w:tcPr>
            <w:tcW w:w="62" w:type="dxa"/>
            <w:tcBorders/>
          </w:tcPr>
          <w:p>
            <w:pPr>
              <w:pStyle w:val="TableContents"/>
              <w:bidi w:val="0"/>
              <w:spacing w:before="0" w:after="283"/>
              <w:jc w:val="left"/>
              <w:rPr/>
            </w:pPr>
            <w:r>
              <w:rPr/>
              <w:t> </w:t>
            </w:r>
          </w:p>
        </w:tc>
      </w:tr>
      <w:tr>
        <w:trPr>
          <w:trHeight w:val="120" w:hRule="atLeast"/>
        </w:trPr>
        <w:tc>
          <w:tcPr>
            <w:tcW w:w="9363" w:type="dxa"/>
            <w:tcBorders/>
            <w:vAlign w:val="center"/>
          </w:tcPr>
          <w:p>
            <w:pPr>
              <w:pStyle w:val="TableContents"/>
              <w:bidi w:val="0"/>
              <w:spacing w:before="0" w:after="283"/>
              <w:jc w:val="left"/>
              <w:rPr>
                <w:sz w:val="4"/>
                <w:szCs w:val="4"/>
              </w:rPr>
            </w:pPr>
            <w:r>
              <w:rPr>
                <w:sz w:val="4"/>
                <w:szCs w:val="4"/>
              </w:rPr>
            </w:r>
          </w:p>
        </w:tc>
        <w:tc>
          <w:tcPr>
            <w:tcW w:w="842" w:type="dxa"/>
            <w:gridSpan w:val="4"/>
            <w:tcBorders/>
            <w:vAlign w:val="center"/>
          </w:tcPr>
          <w:p>
            <w:pPr>
              <w:pStyle w:val="TableContents"/>
              <w:bidi w:val="0"/>
              <w:spacing w:before="0" w:after="283"/>
              <w:jc w:val="left"/>
              <w:rPr>
                <w:sz w:val="4"/>
                <w:szCs w:val="4"/>
              </w:rPr>
            </w:pPr>
            <w:r>
              <w:rPr>
                <w:sz w:val="4"/>
                <w:szCs w:val="4"/>
              </w:rPr>
            </w:r>
          </w:p>
        </w:tc>
      </w:tr>
      <w:tr>
        <w:trPr/>
        <w:tc>
          <w:tcPr>
            <w:tcW w:w="9363" w:type="dxa"/>
            <w:tcBorders/>
          </w:tcPr>
          <w:p>
            <w:pPr>
              <w:pStyle w:val="TableContents"/>
              <w:bidi w:val="0"/>
              <w:spacing w:before="0" w:after="283"/>
              <w:jc w:val="left"/>
              <w:rPr/>
            </w:pPr>
            <w:r>
              <w:rPr/>
              <w:t>Section 6.01 Events of Default</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11</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6.02 Acceleration of Maturity; Rescission and Annulment</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12</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6.03 Collection of Indebtedness and Suits for Enforcement by Trustee</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12</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6.04 Trustee May File Proofs of Claim</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12</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6.05 Trustee May Enforce Claims Without Possession of Securities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13</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6.06 Application of Money Collected</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13</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6.07 Limitation on Suits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13</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6.08 Unconditional Right of Holders to Receive Principal and Interest</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13</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6.09 Restoration of Rights and Remedies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14</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6.10 Rights and Remedies Cumulative</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14</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6.11 Delay or Omission Not Waiver</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14</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6.12 Control by Holders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14</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6.13 Waiver of Past Defaults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14</w:t>
            </w:r>
          </w:p>
        </w:tc>
        <w:tc>
          <w:tcPr>
            <w:tcW w:w="62"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6.14 Undertaking for Costs</w:t>
            </w:r>
          </w:p>
        </w:tc>
        <w:tc>
          <w:tcPr>
            <w:tcW w:w="259"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14</w:t>
            </w:r>
          </w:p>
        </w:tc>
        <w:tc>
          <w:tcPr>
            <w:tcW w:w="62"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363"/>
        <w:gridCol w:w="258"/>
        <w:gridCol w:w="96"/>
        <w:gridCol w:w="425"/>
        <w:gridCol w:w="63"/>
      </w:tblGrid>
      <w:tr>
        <w:trPr/>
        <w:tc>
          <w:tcPr>
            <w:tcW w:w="9363"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63"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21"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ARTICLE VII TRUSTEE</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15</w:t>
            </w:r>
          </w:p>
        </w:tc>
        <w:tc>
          <w:tcPr>
            <w:tcW w:w="63" w:type="dxa"/>
            <w:tcBorders/>
          </w:tcPr>
          <w:p>
            <w:pPr>
              <w:pStyle w:val="TableContents"/>
              <w:bidi w:val="0"/>
              <w:spacing w:before="0" w:after="283"/>
              <w:jc w:val="left"/>
              <w:rPr/>
            </w:pPr>
            <w:r>
              <w:rPr/>
              <w:t> </w:t>
            </w:r>
          </w:p>
        </w:tc>
      </w:tr>
      <w:tr>
        <w:trPr>
          <w:trHeight w:val="120" w:hRule="atLeast"/>
        </w:trPr>
        <w:tc>
          <w:tcPr>
            <w:tcW w:w="9363" w:type="dxa"/>
            <w:tcBorders/>
            <w:vAlign w:val="center"/>
          </w:tcPr>
          <w:p>
            <w:pPr>
              <w:pStyle w:val="TableContents"/>
              <w:bidi w:val="0"/>
              <w:spacing w:before="0" w:after="283"/>
              <w:jc w:val="left"/>
              <w:rPr>
                <w:sz w:val="4"/>
                <w:szCs w:val="4"/>
              </w:rPr>
            </w:pPr>
            <w:r>
              <w:rPr>
                <w:sz w:val="4"/>
                <w:szCs w:val="4"/>
              </w:rPr>
            </w:r>
          </w:p>
        </w:tc>
        <w:tc>
          <w:tcPr>
            <w:tcW w:w="842" w:type="dxa"/>
            <w:gridSpan w:val="4"/>
            <w:tcBorders/>
            <w:vAlign w:val="center"/>
          </w:tcPr>
          <w:p>
            <w:pPr>
              <w:pStyle w:val="TableContents"/>
              <w:bidi w:val="0"/>
              <w:spacing w:before="0" w:after="283"/>
              <w:jc w:val="left"/>
              <w:rPr>
                <w:sz w:val="4"/>
                <w:szCs w:val="4"/>
              </w:rPr>
            </w:pPr>
            <w:r>
              <w:rPr>
                <w:sz w:val="4"/>
                <w:szCs w:val="4"/>
              </w:rPr>
            </w:r>
          </w:p>
        </w:tc>
      </w:tr>
      <w:tr>
        <w:trPr/>
        <w:tc>
          <w:tcPr>
            <w:tcW w:w="9363" w:type="dxa"/>
            <w:tcBorders/>
          </w:tcPr>
          <w:p>
            <w:pPr>
              <w:pStyle w:val="TableContents"/>
              <w:bidi w:val="0"/>
              <w:spacing w:before="0" w:after="283"/>
              <w:jc w:val="left"/>
              <w:rPr/>
            </w:pPr>
            <w:r>
              <w:rPr/>
              <w:t>Section 7.01 Duties of Trustee</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15</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7.02 Rights of Trustee</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15</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7.03 Individual Rights of Trustee</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16</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7.04 Trustees Disclaimer</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16</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7.05 Notice of Defaults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16</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7.06 Reports by Trustee to Holders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16</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7.07 Compensation and Indemnity</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16</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7.08 Replacement of Trustee</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17</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7.09 Successor Trustee by Merger, etc.</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17</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7.10 Eligibility; Disqualification</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17</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7.11 Preferential Collection of Claims Against Company</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17</w:t>
            </w:r>
          </w:p>
        </w:tc>
        <w:tc>
          <w:tcPr>
            <w:tcW w:w="63" w:type="dxa"/>
            <w:tcBorders/>
          </w:tcPr>
          <w:p>
            <w:pPr>
              <w:pStyle w:val="TableContents"/>
              <w:bidi w:val="0"/>
              <w:spacing w:before="0" w:after="283"/>
              <w:jc w:val="left"/>
              <w:rPr/>
            </w:pPr>
            <w:r>
              <w:rPr/>
              <w:t> </w:t>
            </w:r>
          </w:p>
        </w:tc>
      </w:tr>
      <w:tr>
        <w:trPr>
          <w:trHeight w:val="120" w:hRule="atLeast"/>
        </w:trPr>
        <w:tc>
          <w:tcPr>
            <w:tcW w:w="9363" w:type="dxa"/>
            <w:tcBorders/>
            <w:vAlign w:val="center"/>
          </w:tcPr>
          <w:p>
            <w:pPr>
              <w:pStyle w:val="TableContents"/>
              <w:bidi w:val="0"/>
              <w:spacing w:before="0" w:after="283"/>
              <w:jc w:val="left"/>
              <w:rPr>
                <w:sz w:val="4"/>
                <w:szCs w:val="4"/>
              </w:rPr>
            </w:pPr>
            <w:r>
              <w:rPr>
                <w:sz w:val="4"/>
                <w:szCs w:val="4"/>
              </w:rPr>
            </w:r>
          </w:p>
        </w:tc>
        <w:tc>
          <w:tcPr>
            <w:tcW w:w="842" w:type="dxa"/>
            <w:gridSpan w:val="4"/>
            <w:tcBorders/>
            <w:vAlign w:val="center"/>
          </w:tcPr>
          <w:p>
            <w:pPr>
              <w:pStyle w:val="TableContents"/>
              <w:bidi w:val="0"/>
              <w:spacing w:before="0" w:after="283"/>
              <w:jc w:val="left"/>
              <w:rPr>
                <w:sz w:val="4"/>
                <w:szCs w:val="4"/>
              </w:rPr>
            </w:pPr>
            <w:r>
              <w:rPr>
                <w:sz w:val="4"/>
                <w:szCs w:val="4"/>
              </w:rPr>
            </w:r>
          </w:p>
        </w:tc>
      </w:tr>
      <w:tr>
        <w:trPr/>
        <w:tc>
          <w:tcPr>
            <w:tcW w:w="9363" w:type="dxa"/>
            <w:tcBorders/>
          </w:tcPr>
          <w:p>
            <w:pPr>
              <w:pStyle w:val="TableContents"/>
              <w:bidi w:val="0"/>
              <w:spacing w:before="0" w:after="283"/>
              <w:jc w:val="left"/>
              <w:rPr/>
            </w:pPr>
            <w:r>
              <w:rPr/>
              <w:t>ARTICLE VIII SATISFACTION AND DISCHARGE; DEFEASANCE</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17</w:t>
            </w:r>
          </w:p>
        </w:tc>
        <w:tc>
          <w:tcPr>
            <w:tcW w:w="63" w:type="dxa"/>
            <w:tcBorders/>
          </w:tcPr>
          <w:p>
            <w:pPr>
              <w:pStyle w:val="TableContents"/>
              <w:bidi w:val="0"/>
              <w:spacing w:before="0" w:after="283"/>
              <w:jc w:val="left"/>
              <w:rPr/>
            </w:pPr>
            <w:r>
              <w:rPr/>
              <w:t> </w:t>
            </w:r>
          </w:p>
        </w:tc>
      </w:tr>
      <w:tr>
        <w:trPr>
          <w:trHeight w:val="120" w:hRule="atLeast"/>
        </w:trPr>
        <w:tc>
          <w:tcPr>
            <w:tcW w:w="9363" w:type="dxa"/>
            <w:tcBorders/>
            <w:vAlign w:val="center"/>
          </w:tcPr>
          <w:p>
            <w:pPr>
              <w:pStyle w:val="TableContents"/>
              <w:bidi w:val="0"/>
              <w:spacing w:before="0" w:after="283"/>
              <w:jc w:val="left"/>
              <w:rPr>
                <w:sz w:val="4"/>
                <w:szCs w:val="4"/>
              </w:rPr>
            </w:pPr>
            <w:r>
              <w:rPr>
                <w:sz w:val="4"/>
                <w:szCs w:val="4"/>
              </w:rPr>
            </w:r>
          </w:p>
        </w:tc>
        <w:tc>
          <w:tcPr>
            <w:tcW w:w="842" w:type="dxa"/>
            <w:gridSpan w:val="4"/>
            <w:tcBorders/>
            <w:vAlign w:val="center"/>
          </w:tcPr>
          <w:p>
            <w:pPr>
              <w:pStyle w:val="TableContents"/>
              <w:bidi w:val="0"/>
              <w:spacing w:before="0" w:after="283"/>
              <w:jc w:val="left"/>
              <w:rPr>
                <w:sz w:val="4"/>
                <w:szCs w:val="4"/>
              </w:rPr>
            </w:pPr>
            <w:r>
              <w:rPr>
                <w:sz w:val="4"/>
                <w:szCs w:val="4"/>
              </w:rPr>
            </w:r>
          </w:p>
        </w:tc>
      </w:tr>
      <w:tr>
        <w:trPr/>
        <w:tc>
          <w:tcPr>
            <w:tcW w:w="9363" w:type="dxa"/>
            <w:tcBorders/>
          </w:tcPr>
          <w:p>
            <w:pPr>
              <w:pStyle w:val="TableContents"/>
              <w:bidi w:val="0"/>
              <w:spacing w:before="0" w:after="283"/>
              <w:jc w:val="left"/>
              <w:rPr/>
            </w:pPr>
            <w:r>
              <w:rPr/>
              <w:t>Section 8.01 Satisfaction and Discharge of Indenture</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17</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8.02 Application of Trust Funds; Indemnification</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18</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8.03 Legal Defeasance of Securities of any Series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18</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8.04 Covenant Defeasance</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19</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8.05 Repayment to Company</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20</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8.06 Reinstatement</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20</w:t>
            </w:r>
          </w:p>
        </w:tc>
        <w:tc>
          <w:tcPr>
            <w:tcW w:w="63" w:type="dxa"/>
            <w:tcBorders/>
          </w:tcPr>
          <w:p>
            <w:pPr>
              <w:pStyle w:val="TableContents"/>
              <w:bidi w:val="0"/>
              <w:spacing w:before="0" w:after="283"/>
              <w:jc w:val="left"/>
              <w:rPr/>
            </w:pPr>
            <w:r>
              <w:rPr/>
              <w:t> </w:t>
            </w:r>
          </w:p>
        </w:tc>
      </w:tr>
      <w:tr>
        <w:trPr>
          <w:trHeight w:val="120" w:hRule="atLeast"/>
        </w:trPr>
        <w:tc>
          <w:tcPr>
            <w:tcW w:w="9363" w:type="dxa"/>
            <w:tcBorders/>
            <w:vAlign w:val="center"/>
          </w:tcPr>
          <w:p>
            <w:pPr>
              <w:pStyle w:val="TableContents"/>
              <w:bidi w:val="0"/>
              <w:spacing w:before="0" w:after="283"/>
              <w:jc w:val="left"/>
              <w:rPr>
                <w:sz w:val="4"/>
                <w:szCs w:val="4"/>
              </w:rPr>
            </w:pPr>
            <w:r>
              <w:rPr>
                <w:sz w:val="4"/>
                <w:szCs w:val="4"/>
              </w:rPr>
            </w:r>
          </w:p>
        </w:tc>
        <w:tc>
          <w:tcPr>
            <w:tcW w:w="842" w:type="dxa"/>
            <w:gridSpan w:val="4"/>
            <w:tcBorders/>
            <w:vAlign w:val="center"/>
          </w:tcPr>
          <w:p>
            <w:pPr>
              <w:pStyle w:val="TableContents"/>
              <w:bidi w:val="0"/>
              <w:spacing w:before="0" w:after="283"/>
              <w:jc w:val="left"/>
              <w:rPr>
                <w:sz w:val="4"/>
                <w:szCs w:val="4"/>
              </w:rPr>
            </w:pPr>
            <w:r>
              <w:rPr>
                <w:sz w:val="4"/>
                <w:szCs w:val="4"/>
              </w:rPr>
            </w:r>
          </w:p>
        </w:tc>
      </w:tr>
      <w:tr>
        <w:trPr/>
        <w:tc>
          <w:tcPr>
            <w:tcW w:w="9363" w:type="dxa"/>
            <w:tcBorders/>
          </w:tcPr>
          <w:p>
            <w:pPr>
              <w:pStyle w:val="TableContents"/>
              <w:bidi w:val="0"/>
              <w:spacing w:before="0" w:after="283"/>
              <w:jc w:val="left"/>
              <w:rPr/>
            </w:pPr>
            <w:r>
              <w:rPr/>
              <w:t>ARTICLE IX AMENDMENTS AND WAIVERS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20</w:t>
            </w:r>
          </w:p>
        </w:tc>
        <w:tc>
          <w:tcPr>
            <w:tcW w:w="63" w:type="dxa"/>
            <w:tcBorders/>
          </w:tcPr>
          <w:p>
            <w:pPr>
              <w:pStyle w:val="TableContents"/>
              <w:bidi w:val="0"/>
              <w:spacing w:before="0" w:after="283"/>
              <w:jc w:val="left"/>
              <w:rPr/>
            </w:pPr>
            <w:r>
              <w:rPr/>
              <w:t> </w:t>
            </w:r>
          </w:p>
        </w:tc>
      </w:tr>
      <w:tr>
        <w:trPr>
          <w:trHeight w:val="120" w:hRule="atLeast"/>
        </w:trPr>
        <w:tc>
          <w:tcPr>
            <w:tcW w:w="9363" w:type="dxa"/>
            <w:tcBorders/>
            <w:vAlign w:val="center"/>
          </w:tcPr>
          <w:p>
            <w:pPr>
              <w:pStyle w:val="TableContents"/>
              <w:bidi w:val="0"/>
              <w:spacing w:before="0" w:after="283"/>
              <w:jc w:val="left"/>
              <w:rPr>
                <w:sz w:val="4"/>
                <w:szCs w:val="4"/>
              </w:rPr>
            </w:pPr>
            <w:r>
              <w:rPr>
                <w:sz w:val="4"/>
                <w:szCs w:val="4"/>
              </w:rPr>
            </w:r>
          </w:p>
        </w:tc>
        <w:tc>
          <w:tcPr>
            <w:tcW w:w="842" w:type="dxa"/>
            <w:gridSpan w:val="4"/>
            <w:tcBorders/>
            <w:vAlign w:val="center"/>
          </w:tcPr>
          <w:p>
            <w:pPr>
              <w:pStyle w:val="TableContents"/>
              <w:bidi w:val="0"/>
              <w:spacing w:before="0" w:after="283"/>
              <w:jc w:val="left"/>
              <w:rPr>
                <w:sz w:val="4"/>
                <w:szCs w:val="4"/>
              </w:rPr>
            </w:pPr>
            <w:r>
              <w:rPr>
                <w:sz w:val="4"/>
                <w:szCs w:val="4"/>
              </w:rPr>
            </w:r>
          </w:p>
        </w:tc>
      </w:tr>
      <w:tr>
        <w:trPr/>
        <w:tc>
          <w:tcPr>
            <w:tcW w:w="9363" w:type="dxa"/>
            <w:tcBorders/>
          </w:tcPr>
          <w:p>
            <w:pPr>
              <w:pStyle w:val="TableContents"/>
              <w:bidi w:val="0"/>
              <w:spacing w:before="0" w:after="283"/>
              <w:jc w:val="left"/>
              <w:rPr/>
            </w:pPr>
            <w:r>
              <w:rPr/>
              <w:t>Section 9.01 Without Consent of Holders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20</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9.02 With Consent of Holders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21</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9.03 Limitations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21</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9.04 Compliance with Trust Indenture Act</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21</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9.05 Revocation and Effect of Consents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21</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9.06 Notation on or Exchange of Securities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22</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9.07 Trustee Protected</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22</w:t>
            </w:r>
          </w:p>
        </w:tc>
        <w:tc>
          <w:tcPr>
            <w:tcW w:w="63" w:type="dxa"/>
            <w:tcBorders/>
          </w:tcPr>
          <w:p>
            <w:pPr>
              <w:pStyle w:val="TableContents"/>
              <w:bidi w:val="0"/>
              <w:spacing w:before="0" w:after="283"/>
              <w:jc w:val="left"/>
              <w:rPr/>
            </w:pPr>
            <w:r>
              <w:rPr/>
              <w:t> </w:t>
            </w:r>
          </w:p>
        </w:tc>
      </w:tr>
      <w:tr>
        <w:trPr>
          <w:trHeight w:val="120" w:hRule="atLeast"/>
        </w:trPr>
        <w:tc>
          <w:tcPr>
            <w:tcW w:w="9363" w:type="dxa"/>
            <w:tcBorders/>
            <w:vAlign w:val="center"/>
          </w:tcPr>
          <w:p>
            <w:pPr>
              <w:pStyle w:val="TableContents"/>
              <w:bidi w:val="0"/>
              <w:spacing w:before="0" w:after="283"/>
              <w:jc w:val="left"/>
              <w:rPr>
                <w:sz w:val="4"/>
                <w:szCs w:val="4"/>
              </w:rPr>
            </w:pPr>
            <w:r>
              <w:rPr>
                <w:sz w:val="4"/>
                <w:szCs w:val="4"/>
              </w:rPr>
            </w:r>
          </w:p>
        </w:tc>
        <w:tc>
          <w:tcPr>
            <w:tcW w:w="842" w:type="dxa"/>
            <w:gridSpan w:val="4"/>
            <w:tcBorders/>
            <w:vAlign w:val="center"/>
          </w:tcPr>
          <w:p>
            <w:pPr>
              <w:pStyle w:val="TableContents"/>
              <w:bidi w:val="0"/>
              <w:spacing w:before="0" w:after="283"/>
              <w:jc w:val="left"/>
              <w:rPr>
                <w:sz w:val="4"/>
                <w:szCs w:val="4"/>
              </w:rPr>
            </w:pPr>
            <w:r>
              <w:rPr>
                <w:sz w:val="4"/>
                <w:szCs w:val="4"/>
              </w:rPr>
            </w:r>
          </w:p>
        </w:tc>
      </w:tr>
      <w:tr>
        <w:trPr/>
        <w:tc>
          <w:tcPr>
            <w:tcW w:w="9363" w:type="dxa"/>
            <w:tcBorders/>
          </w:tcPr>
          <w:p>
            <w:pPr>
              <w:pStyle w:val="TableContents"/>
              <w:bidi w:val="0"/>
              <w:spacing w:before="0" w:after="283"/>
              <w:jc w:val="left"/>
              <w:rPr/>
            </w:pPr>
            <w:r>
              <w:rPr/>
              <w:t>ARTICLE X MISCELLANEOUS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22</w:t>
            </w:r>
          </w:p>
        </w:tc>
        <w:tc>
          <w:tcPr>
            <w:tcW w:w="63" w:type="dxa"/>
            <w:tcBorders/>
          </w:tcPr>
          <w:p>
            <w:pPr>
              <w:pStyle w:val="TableContents"/>
              <w:bidi w:val="0"/>
              <w:spacing w:before="0" w:after="283"/>
              <w:jc w:val="left"/>
              <w:rPr/>
            </w:pPr>
            <w:r>
              <w:rPr/>
              <w:t> </w:t>
            </w:r>
          </w:p>
        </w:tc>
      </w:tr>
      <w:tr>
        <w:trPr>
          <w:trHeight w:val="120" w:hRule="atLeast"/>
        </w:trPr>
        <w:tc>
          <w:tcPr>
            <w:tcW w:w="9363" w:type="dxa"/>
            <w:tcBorders/>
            <w:vAlign w:val="center"/>
          </w:tcPr>
          <w:p>
            <w:pPr>
              <w:pStyle w:val="TableContents"/>
              <w:bidi w:val="0"/>
              <w:spacing w:before="0" w:after="283"/>
              <w:jc w:val="left"/>
              <w:rPr>
                <w:sz w:val="4"/>
                <w:szCs w:val="4"/>
              </w:rPr>
            </w:pPr>
            <w:r>
              <w:rPr>
                <w:sz w:val="4"/>
                <w:szCs w:val="4"/>
              </w:rPr>
            </w:r>
          </w:p>
        </w:tc>
        <w:tc>
          <w:tcPr>
            <w:tcW w:w="842" w:type="dxa"/>
            <w:gridSpan w:val="4"/>
            <w:tcBorders/>
            <w:vAlign w:val="center"/>
          </w:tcPr>
          <w:p>
            <w:pPr>
              <w:pStyle w:val="TableContents"/>
              <w:bidi w:val="0"/>
              <w:spacing w:before="0" w:after="283"/>
              <w:jc w:val="left"/>
              <w:rPr>
                <w:sz w:val="4"/>
                <w:szCs w:val="4"/>
              </w:rPr>
            </w:pPr>
            <w:r>
              <w:rPr>
                <w:sz w:val="4"/>
                <w:szCs w:val="4"/>
              </w:rPr>
            </w:r>
          </w:p>
        </w:tc>
      </w:tr>
      <w:tr>
        <w:trPr/>
        <w:tc>
          <w:tcPr>
            <w:tcW w:w="9363" w:type="dxa"/>
            <w:tcBorders/>
          </w:tcPr>
          <w:p>
            <w:pPr>
              <w:pStyle w:val="TableContents"/>
              <w:bidi w:val="0"/>
              <w:spacing w:before="0" w:after="283"/>
              <w:jc w:val="left"/>
              <w:rPr/>
            </w:pPr>
            <w:r>
              <w:rPr/>
              <w:t>Section 10.01 Trust Indenture Act Controls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22</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10.02 Notices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22</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10.03 Communication by Holders with Other Holders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22</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10.04 Certificate and Opinion as to Conditions Precedent</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22</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10.05 Statements Required in Certificate or Opinion</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23</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10.06 Rules by Trustee and Agents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23</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10.07 Legal Holidays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23</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10.08 No Recourse Against Others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23</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10.09 Counterparts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23</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10.10 Governing Laws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23</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10.11 No Adverse Interpretation of Other Agreements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23</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10.12 Successors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23</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10.13 Severability</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23</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10.14 Table of Contents, Headings, Etc</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23</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10.15 Securities in a Foreign Currency</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23</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10.16 Judgment Currency</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24</w:t>
            </w:r>
          </w:p>
        </w:tc>
        <w:tc>
          <w:tcPr>
            <w:tcW w:w="63" w:type="dxa"/>
            <w:tcBorders/>
          </w:tcPr>
          <w:p>
            <w:pPr>
              <w:pStyle w:val="TableContents"/>
              <w:bidi w:val="0"/>
              <w:spacing w:before="0" w:after="283"/>
              <w:jc w:val="left"/>
              <w:rPr/>
            </w:pPr>
            <w:r>
              <w:rPr/>
              <w:t> </w:t>
            </w:r>
          </w:p>
        </w:tc>
      </w:tr>
      <w:tr>
        <w:trPr>
          <w:trHeight w:val="120" w:hRule="atLeast"/>
        </w:trPr>
        <w:tc>
          <w:tcPr>
            <w:tcW w:w="9363" w:type="dxa"/>
            <w:tcBorders/>
            <w:vAlign w:val="center"/>
          </w:tcPr>
          <w:p>
            <w:pPr>
              <w:pStyle w:val="TableContents"/>
              <w:bidi w:val="0"/>
              <w:spacing w:before="0" w:after="283"/>
              <w:jc w:val="left"/>
              <w:rPr>
                <w:sz w:val="4"/>
                <w:szCs w:val="4"/>
              </w:rPr>
            </w:pPr>
            <w:r>
              <w:rPr>
                <w:sz w:val="4"/>
                <w:szCs w:val="4"/>
              </w:rPr>
            </w:r>
          </w:p>
        </w:tc>
        <w:tc>
          <w:tcPr>
            <w:tcW w:w="842" w:type="dxa"/>
            <w:gridSpan w:val="4"/>
            <w:tcBorders/>
            <w:vAlign w:val="center"/>
          </w:tcPr>
          <w:p>
            <w:pPr>
              <w:pStyle w:val="TableContents"/>
              <w:bidi w:val="0"/>
              <w:spacing w:before="0" w:after="283"/>
              <w:jc w:val="left"/>
              <w:rPr>
                <w:sz w:val="4"/>
                <w:szCs w:val="4"/>
              </w:rPr>
            </w:pPr>
            <w:r>
              <w:rPr>
                <w:sz w:val="4"/>
                <w:szCs w:val="4"/>
              </w:rPr>
            </w:r>
          </w:p>
        </w:tc>
      </w:tr>
      <w:tr>
        <w:trPr/>
        <w:tc>
          <w:tcPr>
            <w:tcW w:w="9363" w:type="dxa"/>
            <w:tcBorders/>
          </w:tcPr>
          <w:p>
            <w:pPr>
              <w:pStyle w:val="TableContents"/>
              <w:bidi w:val="0"/>
              <w:spacing w:before="0" w:after="283"/>
              <w:jc w:val="left"/>
              <w:rPr/>
            </w:pPr>
            <w:r>
              <w:rPr/>
              <w:t>ARTICLE XI SINKING FUNDS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24</w:t>
            </w:r>
          </w:p>
        </w:tc>
        <w:tc>
          <w:tcPr>
            <w:tcW w:w="63" w:type="dxa"/>
            <w:tcBorders/>
          </w:tcPr>
          <w:p>
            <w:pPr>
              <w:pStyle w:val="TableContents"/>
              <w:bidi w:val="0"/>
              <w:spacing w:before="0" w:after="283"/>
              <w:jc w:val="left"/>
              <w:rPr/>
            </w:pPr>
            <w:r>
              <w:rPr/>
              <w:t> </w:t>
            </w:r>
          </w:p>
        </w:tc>
      </w:tr>
      <w:tr>
        <w:trPr>
          <w:trHeight w:val="120" w:hRule="atLeast"/>
        </w:trPr>
        <w:tc>
          <w:tcPr>
            <w:tcW w:w="9363" w:type="dxa"/>
            <w:tcBorders/>
            <w:vAlign w:val="center"/>
          </w:tcPr>
          <w:p>
            <w:pPr>
              <w:pStyle w:val="TableContents"/>
              <w:bidi w:val="0"/>
              <w:spacing w:before="0" w:after="283"/>
              <w:jc w:val="left"/>
              <w:rPr>
                <w:sz w:val="4"/>
                <w:szCs w:val="4"/>
              </w:rPr>
            </w:pPr>
            <w:r>
              <w:rPr>
                <w:sz w:val="4"/>
                <w:szCs w:val="4"/>
              </w:rPr>
            </w:r>
          </w:p>
        </w:tc>
        <w:tc>
          <w:tcPr>
            <w:tcW w:w="842" w:type="dxa"/>
            <w:gridSpan w:val="4"/>
            <w:tcBorders/>
            <w:vAlign w:val="center"/>
          </w:tcPr>
          <w:p>
            <w:pPr>
              <w:pStyle w:val="TableContents"/>
              <w:bidi w:val="0"/>
              <w:spacing w:before="0" w:after="283"/>
              <w:jc w:val="left"/>
              <w:rPr>
                <w:sz w:val="4"/>
                <w:szCs w:val="4"/>
              </w:rPr>
            </w:pPr>
            <w:r>
              <w:rPr>
                <w:sz w:val="4"/>
                <w:szCs w:val="4"/>
              </w:rPr>
            </w:r>
          </w:p>
        </w:tc>
      </w:tr>
      <w:tr>
        <w:trPr/>
        <w:tc>
          <w:tcPr>
            <w:tcW w:w="9363" w:type="dxa"/>
            <w:tcBorders/>
          </w:tcPr>
          <w:p>
            <w:pPr>
              <w:pStyle w:val="TableContents"/>
              <w:bidi w:val="0"/>
              <w:spacing w:before="0" w:after="283"/>
              <w:jc w:val="left"/>
              <w:rPr/>
            </w:pPr>
            <w:r>
              <w:rPr/>
              <w:t>Section 11.01 Applicability of Article</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24</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11.02 Satisfaction of Sinking Fund Payments with Securities</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24</w:t>
            </w:r>
          </w:p>
        </w:tc>
        <w:tc>
          <w:tcPr>
            <w:tcW w:w="63" w:type="dxa"/>
            <w:tcBorders/>
          </w:tcPr>
          <w:p>
            <w:pPr>
              <w:pStyle w:val="TableContents"/>
              <w:bidi w:val="0"/>
              <w:spacing w:before="0" w:after="283"/>
              <w:jc w:val="left"/>
              <w:rPr/>
            </w:pPr>
            <w:r>
              <w:rPr/>
              <w:t> </w:t>
            </w:r>
          </w:p>
        </w:tc>
      </w:tr>
      <w:tr>
        <w:trPr/>
        <w:tc>
          <w:tcPr>
            <w:tcW w:w="9363" w:type="dxa"/>
            <w:tcBorders/>
          </w:tcPr>
          <w:p>
            <w:pPr>
              <w:pStyle w:val="TableContents"/>
              <w:bidi w:val="0"/>
              <w:spacing w:before="0" w:after="283"/>
              <w:jc w:val="left"/>
              <w:rPr/>
            </w:pPr>
            <w:r>
              <w:rPr/>
              <w:t>Section 11.03 Redemption of Securities for Sinking Fund</w:t>
            </w:r>
          </w:p>
        </w:tc>
        <w:tc>
          <w:tcPr>
            <w:tcW w:w="258"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5" w:type="dxa"/>
            <w:tcBorders/>
          </w:tcPr>
          <w:p>
            <w:pPr>
              <w:pStyle w:val="TableContents"/>
              <w:bidi w:val="0"/>
              <w:spacing w:before="0" w:after="283"/>
              <w:jc w:val="right"/>
              <w:rPr/>
            </w:pPr>
            <w:r>
              <w:rPr/>
              <w:t>24</w:t>
            </w:r>
          </w:p>
        </w:tc>
        <w:tc>
          <w:tcPr>
            <w:tcW w:w="63"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NAVIOS MARITIME PARTNERS L.P.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and tie between Trust Indenture Act of 1939 and </w:t>
      </w:r>
    </w:p>
    <w:p>
      <w:pPr>
        <w:pStyle w:val="TextBody"/>
        <w:bidi w:val="0"/>
        <w:spacing w:before="0" w:after="0"/>
        <w:jc w:val="center"/>
        <w:rPr>
          <w:rFonts w:ascii="Times New Roman" w:hAnsi="Times New Roman"/>
          <w:b/>
          <w:sz w:val="20"/>
        </w:rPr>
      </w:pPr>
      <w:r>
        <w:rPr>
          <w:rFonts w:ascii="Times New Roman" w:hAnsi="Times New Roman"/>
          <w:b/>
          <w:sz w:val="20"/>
        </w:rPr>
        <w:t xml:space="preserve">Indenture, dated as of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8"/>
        <w:gridCol w:w="121"/>
        <w:gridCol w:w="3102"/>
        <w:gridCol w:w="121"/>
        <w:gridCol w:w="3283"/>
      </w:tblGrid>
      <w:tr>
        <w:trPr/>
        <w:tc>
          <w:tcPr>
            <w:tcW w:w="357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83" w:type="dxa"/>
            <w:tcBorders/>
            <w:vAlign w:val="center"/>
          </w:tcPr>
          <w:p>
            <w:pPr>
              <w:pStyle w:val="TableContents"/>
              <w:bidi w:val="0"/>
              <w:spacing w:before="0" w:after="283"/>
              <w:jc w:val="left"/>
              <w:rPr>
                <w:sz w:val="4"/>
                <w:szCs w:val="4"/>
              </w:rPr>
            </w:pPr>
            <w:r>
              <w:rPr>
                <w:sz w:val="4"/>
                <w:szCs w:val="4"/>
              </w:rPr>
            </w:r>
          </w:p>
        </w:tc>
      </w:tr>
      <w:tr>
        <w:trPr/>
        <w:tc>
          <w:tcPr>
            <w:tcW w:w="3578" w:type="dxa"/>
            <w:tcBorders/>
          </w:tcPr>
          <w:p>
            <w:pPr>
              <w:pStyle w:val="TableContents"/>
              <w:bidi w:val="0"/>
              <w:spacing w:before="0" w:after="283"/>
              <w:jc w:val="left"/>
              <w:rPr/>
            </w:pPr>
            <w:r>
              <w:rPr/>
              <w:t>Section 310</w:t>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(a)(1)</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7.09</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(a)(2)</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7.09</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(a)(3)</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NOT APPLICABLE</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(a)(4)</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NOT APPLICABLE</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(a)(5)</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7.09</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(b)</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7.09</w:t>
            </w:r>
          </w:p>
        </w:tc>
      </w:tr>
      <w:tr>
        <w:trPr/>
        <w:tc>
          <w:tcPr>
            <w:tcW w:w="3578" w:type="dxa"/>
            <w:tcBorders/>
          </w:tcPr>
          <w:p>
            <w:pPr>
              <w:pStyle w:val="TableContents"/>
              <w:bidi w:val="0"/>
              <w:spacing w:before="0" w:after="283"/>
              <w:jc w:val="left"/>
              <w:rPr/>
            </w:pPr>
            <w:r>
              <w:rPr/>
              <w:t>Section 311</w:t>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(a)</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7.10</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(b)</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7.10</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(c)</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NOT APPLICABLE</w:t>
            </w:r>
          </w:p>
        </w:tc>
      </w:tr>
      <w:tr>
        <w:trPr/>
        <w:tc>
          <w:tcPr>
            <w:tcW w:w="3578" w:type="dxa"/>
            <w:tcBorders/>
          </w:tcPr>
          <w:p>
            <w:pPr>
              <w:pStyle w:val="TableContents"/>
              <w:bidi w:val="0"/>
              <w:spacing w:before="0" w:after="283"/>
              <w:jc w:val="left"/>
              <w:rPr/>
            </w:pPr>
            <w:r>
              <w:rPr/>
              <w:t>Section 312</w:t>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(a)</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2.06</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(b)</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10.03</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(c)</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10.03</w:t>
            </w:r>
          </w:p>
        </w:tc>
      </w:tr>
      <w:tr>
        <w:trPr/>
        <w:tc>
          <w:tcPr>
            <w:tcW w:w="3578" w:type="dxa"/>
            <w:tcBorders/>
          </w:tcPr>
          <w:p>
            <w:pPr>
              <w:pStyle w:val="TableContents"/>
              <w:bidi w:val="0"/>
              <w:spacing w:before="0" w:after="283"/>
              <w:jc w:val="left"/>
              <w:rPr/>
            </w:pPr>
            <w:r>
              <w:rPr/>
              <w:t>Section 313</w:t>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(a)</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7.06</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(b)(1)</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7.06</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(b)(2)</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7.06</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(c)(1)</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7.06</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(d)</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7.06</w:t>
            </w:r>
          </w:p>
        </w:tc>
      </w:tr>
      <w:tr>
        <w:trPr/>
        <w:tc>
          <w:tcPr>
            <w:tcW w:w="3578" w:type="dxa"/>
            <w:tcBorders/>
          </w:tcPr>
          <w:p>
            <w:pPr>
              <w:pStyle w:val="TableContents"/>
              <w:bidi w:val="0"/>
              <w:spacing w:before="0" w:after="283"/>
              <w:jc w:val="left"/>
              <w:rPr/>
            </w:pPr>
            <w:r>
              <w:rPr/>
              <w:t>Section 314</w:t>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(a)</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4.02; 10.05</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(b)</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NOT APPLICABLE</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(c)(1)</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10.04</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(c)(2)</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10.04</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(c)(3)</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NOT APPLICABLE</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(d)</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NOT APPLICABLE</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(e)</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10.05</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(f)</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NOT APPLICABLE</w:t>
            </w:r>
          </w:p>
        </w:tc>
      </w:tr>
      <w:tr>
        <w:trPr/>
        <w:tc>
          <w:tcPr>
            <w:tcW w:w="3578" w:type="dxa"/>
            <w:tcBorders/>
          </w:tcPr>
          <w:p>
            <w:pPr>
              <w:pStyle w:val="TableContents"/>
              <w:bidi w:val="0"/>
              <w:spacing w:before="0" w:after="283"/>
              <w:jc w:val="left"/>
              <w:rPr/>
            </w:pPr>
            <w:r>
              <w:rPr/>
              <w:t>Section 315</w:t>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(a)</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7.01</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(b)</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7.05</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(c)</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7.01</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(d)</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7.01</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(e)</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6.14</w:t>
            </w:r>
          </w:p>
        </w:tc>
      </w:tr>
      <w:tr>
        <w:trPr/>
        <w:tc>
          <w:tcPr>
            <w:tcW w:w="3578" w:type="dxa"/>
            <w:tcBorders/>
          </w:tcPr>
          <w:p>
            <w:pPr>
              <w:pStyle w:val="TableContents"/>
              <w:bidi w:val="0"/>
              <w:spacing w:before="0" w:after="283"/>
              <w:jc w:val="left"/>
              <w:rPr/>
            </w:pPr>
            <w:r>
              <w:rPr/>
              <w:t>Section 316</w:t>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(a)</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2.09</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(a)(1)(a)</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6.12</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(a)(1)(b)</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6.13</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(b)</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6.08</w:t>
            </w:r>
          </w:p>
        </w:tc>
      </w:tr>
      <w:tr>
        <w:trPr/>
        <w:tc>
          <w:tcPr>
            <w:tcW w:w="3578" w:type="dxa"/>
            <w:tcBorders/>
          </w:tcPr>
          <w:p>
            <w:pPr>
              <w:pStyle w:val="TableContents"/>
              <w:bidi w:val="0"/>
              <w:spacing w:before="0" w:after="283"/>
              <w:jc w:val="left"/>
              <w:rPr/>
            </w:pPr>
            <w:r>
              <w:rPr/>
              <w:t>Section 317</w:t>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(a)(1)</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6.03</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(a)(2)</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6.04</w:t>
            </w:r>
          </w:p>
        </w:tc>
      </w:tr>
      <w:tr>
        <w:trPr/>
        <w:tc>
          <w:tcPr>
            <w:tcW w:w="357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(b)</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2.05</w:t>
            </w:r>
          </w:p>
        </w:tc>
      </w:tr>
      <w:tr>
        <w:trPr/>
        <w:tc>
          <w:tcPr>
            <w:tcW w:w="3578" w:type="dxa"/>
            <w:tcBorders/>
          </w:tcPr>
          <w:p>
            <w:pPr>
              <w:pStyle w:val="TableContents"/>
              <w:bidi w:val="0"/>
              <w:spacing w:before="0" w:after="283"/>
              <w:jc w:val="left"/>
              <w:rPr/>
            </w:pPr>
            <w:r>
              <w:rPr/>
              <w:t>Section 318</w:t>
            </w:r>
          </w:p>
        </w:tc>
        <w:tc>
          <w:tcPr>
            <w:tcW w:w="121" w:type="dxa"/>
            <w:tcBorders/>
            <w:vAlign w:val="bottom"/>
          </w:tcPr>
          <w:p>
            <w:pPr>
              <w:pStyle w:val="TableContents"/>
              <w:bidi w:val="0"/>
              <w:spacing w:before="0" w:after="283"/>
              <w:jc w:val="left"/>
              <w:rPr/>
            </w:pPr>
            <w:r>
              <w:rPr/>
              <w:t>  </w:t>
            </w:r>
          </w:p>
        </w:tc>
        <w:tc>
          <w:tcPr>
            <w:tcW w:w="3102" w:type="dxa"/>
            <w:tcBorders/>
          </w:tcPr>
          <w:p>
            <w:pPr>
              <w:pStyle w:val="TableContents"/>
              <w:bidi w:val="0"/>
              <w:spacing w:before="0" w:after="283"/>
              <w:jc w:val="left"/>
              <w:rPr/>
            </w:pPr>
            <w:r>
              <w:rPr/>
              <w:t>(a)</w:t>
            </w:r>
          </w:p>
        </w:tc>
        <w:tc>
          <w:tcPr>
            <w:tcW w:w="12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right"/>
              <w:rPr/>
            </w:pPr>
            <w:r>
              <w:rPr/>
              <w:t>10.01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Indenture dated as of                     , 20     between Navios Maritime Partners L.P., a Marshall Islands limited partnership (Company), and             , a             corporation, as trustee (Trustee). </w:t>
      </w:r>
    </w:p>
    <w:p>
      <w:pPr>
        <w:pStyle w:val="TextBody"/>
        <w:bidi w:val="0"/>
        <w:spacing w:before="240" w:after="0"/>
        <w:jc w:val="left"/>
        <w:rPr>
          <w:rFonts w:ascii="Times New Roman" w:hAnsi="Times New Roman"/>
          <w:sz w:val="20"/>
        </w:rPr>
      </w:pPr>
      <w:r>
        <w:rPr>
          <w:rFonts w:ascii="Times New Roman" w:hAnsi="Times New Roman"/>
          <w:sz w:val="20"/>
        </w:rPr>
        <w:t xml:space="preserve">Each party agrees as follows for the benefit of the other party and for the equal and ratable benefit of the Holders of the Securities issued under this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1.01 Definitions. </w:t>
      </w:r>
    </w:p>
    <w:p>
      <w:pPr>
        <w:pStyle w:val="TextBody"/>
        <w:bidi w:val="0"/>
        <w:spacing w:before="120" w:after="0"/>
        <w:jc w:val="left"/>
        <w:rPr>
          <w:rFonts w:ascii="Times New Roman" w:hAnsi="Times New Roman"/>
          <w:sz w:val="20"/>
        </w:rPr>
      </w:pPr>
      <w:r>
        <w:rPr>
          <w:rFonts w:ascii="Times New Roman" w:hAnsi="Times New Roman"/>
          <w:i/>
          <w:sz w:val="20"/>
        </w:rPr>
        <w:t>Additional Amounts</w:t>
      </w:r>
      <w:r>
        <w:rPr>
          <w:rFonts w:ascii="Times New Roman" w:hAnsi="Times New Roman"/>
          <w:sz w:val="20"/>
        </w:rPr>
        <w:t xml:space="preserve"> means any additional amounts which are required hereby or by any Security, under circumstances specified herein or therein, to be paid by the Company in respect of certain taxes imposed on Holders specified herein or therein and which are owing to such Holders. </w:t>
      </w:r>
    </w:p>
    <w:p>
      <w:pPr>
        <w:pStyle w:val="TextBody"/>
        <w:bidi w:val="0"/>
        <w:spacing w:before="240" w:after="0"/>
        <w:jc w:val="left"/>
        <w:rPr>
          <w:rFonts w:ascii="Times New Roman" w:hAnsi="Times New Roman"/>
          <w:sz w:val="20"/>
        </w:rPr>
      </w:pPr>
      <w:r>
        <w:rPr>
          <w:rFonts w:ascii="Times New Roman" w:hAnsi="Times New Roman"/>
          <w:i/>
          <w:sz w:val="20"/>
        </w:rPr>
        <w:t>Affiliate</w:t>
      </w:r>
      <w:r>
        <w:rPr>
          <w:rFonts w:ascii="Times New Roman" w:hAnsi="Times New Roman"/>
          <w:sz w:val="20"/>
        </w:rPr>
        <w:t xml:space="preserve"> of any specified person means any other person directly or indirectly controlling or controlled by or under direct or indirect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 </w:t>
      </w:r>
    </w:p>
    <w:p>
      <w:pPr>
        <w:pStyle w:val="TextBody"/>
        <w:bidi w:val="0"/>
        <w:spacing w:before="240" w:after="0"/>
        <w:jc w:val="left"/>
        <w:rPr>
          <w:rFonts w:ascii="Times New Roman" w:hAnsi="Times New Roman"/>
          <w:sz w:val="20"/>
        </w:rPr>
      </w:pPr>
      <w:r>
        <w:rPr>
          <w:rFonts w:ascii="Times New Roman" w:hAnsi="Times New Roman"/>
          <w:i/>
          <w:sz w:val="20"/>
        </w:rPr>
        <w:t>Agent</w:t>
      </w:r>
      <w:r>
        <w:rPr>
          <w:rFonts w:ascii="Times New Roman" w:hAnsi="Times New Roman"/>
          <w:sz w:val="20"/>
        </w:rPr>
        <w:t xml:space="preserve"> means any Registrar, Paying Agent or Service Agent. </w:t>
      </w:r>
    </w:p>
    <w:p>
      <w:pPr>
        <w:pStyle w:val="TextBody"/>
        <w:bidi w:val="0"/>
        <w:spacing w:before="240" w:after="0"/>
        <w:jc w:val="left"/>
        <w:rPr>
          <w:rFonts w:ascii="Times New Roman" w:hAnsi="Times New Roman"/>
          <w:sz w:val="20"/>
        </w:rPr>
      </w:pPr>
      <w:r>
        <w:rPr>
          <w:rFonts w:ascii="Times New Roman" w:hAnsi="Times New Roman"/>
          <w:i/>
          <w:sz w:val="20"/>
        </w:rPr>
        <w:t>Applicable Procedures</w:t>
      </w:r>
      <w:r>
        <w:rPr>
          <w:rFonts w:ascii="Times New Roman" w:hAnsi="Times New Roman"/>
          <w:sz w:val="20"/>
        </w:rPr>
        <w:t xml:space="preserve"> means, with respect to any transfer or transaction involving a Global Security or beneficial interest therein, the rules and procedures of DTC or any successor Depositary, in each case to the extent applicable to such transaction and as in effect from time to time. </w:t>
      </w:r>
    </w:p>
    <w:p>
      <w:pPr>
        <w:pStyle w:val="TextBody"/>
        <w:bidi w:val="0"/>
        <w:spacing w:before="240" w:after="0"/>
        <w:jc w:val="left"/>
        <w:rPr>
          <w:rFonts w:ascii="Times New Roman" w:hAnsi="Times New Roman"/>
          <w:sz w:val="20"/>
        </w:rPr>
      </w:pPr>
      <w:r>
        <w:rPr>
          <w:rFonts w:ascii="Times New Roman" w:hAnsi="Times New Roman"/>
          <w:i/>
          <w:sz w:val="20"/>
        </w:rPr>
        <w:t>Authorized Newspaper</w:t>
      </w:r>
      <w:r>
        <w:rPr>
          <w:rFonts w:ascii="Times New Roman" w:hAnsi="Times New Roman"/>
          <w:sz w:val="20"/>
        </w:rPr>
        <w:t xml:space="preserve"> means a newspaper in an official language of the country of publication customarily published at least once a day for at least five (5) days in each calendar week and of general circulation in the place in connection with which the term is used. If it shall be impractical in the opinion of the Trustee to make any publication of any notice required hereby in an Authorized Newspaper, any publication or other notice in lieu thereof that is made or given by the Trustee shall constitute a sufficient publication of such notice. </w:t>
      </w:r>
    </w:p>
    <w:p>
      <w:pPr>
        <w:pStyle w:val="TextBody"/>
        <w:bidi w:val="0"/>
        <w:spacing w:before="240" w:after="0"/>
        <w:jc w:val="left"/>
        <w:rPr>
          <w:rFonts w:ascii="Times New Roman" w:hAnsi="Times New Roman"/>
          <w:sz w:val="20"/>
        </w:rPr>
      </w:pPr>
      <w:r>
        <w:rPr>
          <w:rFonts w:ascii="Times New Roman" w:hAnsi="Times New Roman"/>
          <w:i/>
          <w:sz w:val="20"/>
        </w:rPr>
        <w:t>Bearer Security</w:t>
      </w:r>
      <w:r>
        <w:rPr>
          <w:rFonts w:ascii="Times New Roman" w:hAnsi="Times New Roman"/>
          <w:sz w:val="20"/>
        </w:rPr>
        <w:t xml:space="preserve"> means any Security, including any interest coupon appertaining thereto, that does not provide for the identification of the Holder thereof. </w:t>
      </w:r>
    </w:p>
    <w:p>
      <w:pPr>
        <w:pStyle w:val="TextBody"/>
        <w:bidi w:val="0"/>
        <w:spacing w:before="240" w:after="0"/>
        <w:jc w:val="left"/>
        <w:rPr>
          <w:rFonts w:ascii="Times New Roman" w:hAnsi="Times New Roman"/>
          <w:sz w:val="20"/>
        </w:rPr>
      </w:pPr>
      <w:r>
        <w:rPr>
          <w:rFonts w:ascii="Times New Roman" w:hAnsi="Times New Roman"/>
          <w:i/>
          <w:sz w:val="20"/>
        </w:rPr>
        <w:t>Board of Directors</w:t>
      </w:r>
      <w:r>
        <w:rPr>
          <w:rFonts w:ascii="Times New Roman" w:hAnsi="Times New Roman"/>
          <w:sz w:val="20"/>
        </w:rPr>
        <w:t xml:space="preserve"> means the Board of Directors of the Company or any duly authorized committee thereof. </w:t>
      </w:r>
    </w:p>
    <w:p>
      <w:pPr>
        <w:pStyle w:val="TextBody"/>
        <w:bidi w:val="0"/>
        <w:spacing w:before="240" w:after="0"/>
        <w:jc w:val="left"/>
        <w:rPr>
          <w:rFonts w:ascii="Times New Roman" w:hAnsi="Times New Roman"/>
          <w:sz w:val="20"/>
        </w:rPr>
      </w:pPr>
      <w:r>
        <w:rPr>
          <w:rFonts w:ascii="Times New Roman" w:hAnsi="Times New Roman"/>
          <w:i/>
          <w:sz w:val="20"/>
        </w:rPr>
        <w:t>Board Resolution</w:t>
      </w:r>
      <w:r>
        <w:rPr>
          <w:rFonts w:ascii="Times New Roman" w:hAnsi="Times New Roman"/>
          <w:sz w:val="20"/>
        </w:rPr>
        <w:t xml:space="preserve">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 </w:t>
      </w:r>
    </w:p>
    <w:p>
      <w:pPr>
        <w:pStyle w:val="TextBody"/>
        <w:bidi w:val="0"/>
        <w:spacing w:before="240" w:after="0"/>
        <w:jc w:val="left"/>
        <w:rPr>
          <w:rFonts w:ascii="Times New Roman" w:hAnsi="Times New Roman"/>
          <w:sz w:val="20"/>
        </w:rPr>
      </w:pPr>
      <w:r>
        <w:rPr>
          <w:rFonts w:ascii="Times New Roman" w:hAnsi="Times New Roman"/>
          <w:i/>
          <w:sz w:val="20"/>
        </w:rPr>
        <w:t>Business Day</w:t>
      </w:r>
      <w:r>
        <w:rPr>
          <w:rFonts w:ascii="Times New Roman" w:hAnsi="Times New Roman"/>
          <w:sz w:val="20"/>
        </w:rPr>
        <w:t xml:space="preserve"> means, unless otherwise provided by Board Resolution, Officers Certificate or supplemental indenture hereto for a particular Series, any day except a Saturday, Sunday or a legal holiday in The City of New York on which banking institutions are authorized or required by law, regulation or executive order to close. </w:t>
      </w:r>
    </w:p>
    <w:p>
      <w:pPr>
        <w:pStyle w:val="TextBody"/>
        <w:bidi w:val="0"/>
        <w:spacing w:before="240" w:after="0"/>
        <w:jc w:val="left"/>
        <w:rPr>
          <w:rFonts w:ascii="Times New Roman" w:hAnsi="Times New Roman"/>
          <w:sz w:val="20"/>
        </w:rPr>
      </w:pPr>
      <w:r>
        <w:rPr>
          <w:rFonts w:ascii="Times New Roman" w:hAnsi="Times New Roman"/>
          <w:i/>
          <w:sz w:val="20"/>
        </w:rPr>
        <w:t>Capital Interests</w:t>
      </w:r>
      <w:r>
        <w:rPr>
          <w:rFonts w:ascii="Times New Roman" w:hAnsi="Times New Roman"/>
          <w:sz w:val="20"/>
        </w:rPr>
        <w:t xml:space="preserve">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partnership. </w:t>
      </w:r>
    </w:p>
    <w:p>
      <w:pPr>
        <w:pStyle w:val="TextBody"/>
        <w:bidi w:val="0"/>
        <w:spacing w:before="240" w:after="0"/>
        <w:jc w:val="left"/>
        <w:rPr>
          <w:rFonts w:ascii="Times New Roman" w:hAnsi="Times New Roman"/>
          <w:sz w:val="20"/>
        </w:rPr>
      </w:pPr>
      <w:r>
        <w:rPr>
          <w:rFonts w:ascii="Times New Roman" w:hAnsi="Times New Roman"/>
          <w:i/>
          <w:sz w:val="20"/>
        </w:rPr>
        <w:t>Company</w:t>
      </w:r>
      <w:r>
        <w:rPr>
          <w:rFonts w:ascii="Times New Roman" w:hAnsi="Times New Roman"/>
          <w:sz w:val="20"/>
        </w:rPr>
        <w:t xml:space="preserve"> means the party named as such above until a successor replaces it and thereafter means the successor. </w:t>
      </w:r>
    </w:p>
    <w:p>
      <w:pPr>
        <w:pStyle w:val="TextBody"/>
        <w:bidi w:val="0"/>
        <w:spacing w:before="240" w:after="0"/>
        <w:jc w:val="left"/>
        <w:rPr>
          <w:rFonts w:ascii="Times New Roman" w:hAnsi="Times New Roman"/>
          <w:sz w:val="20"/>
        </w:rPr>
      </w:pPr>
      <w:r>
        <w:rPr>
          <w:rFonts w:ascii="Times New Roman" w:hAnsi="Times New Roman"/>
          <w:i/>
          <w:sz w:val="20"/>
        </w:rPr>
        <w:t>Company Order</w:t>
      </w:r>
      <w:r>
        <w:rPr>
          <w:rFonts w:ascii="Times New Roman" w:hAnsi="Times New Roman"/>
          <w:sz w:val="20"/>
        </w:rPr>
        <w:t xml:space="preserve"> means a written order signed in the name of the Company by two Officers, one of whom must be the Companys principal executive officer, principal financial officer or principal accounting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Company Request</w:t>
      </w:r>
      <w:r>
        <w:rPr>
          <w:rFonts w:ascii="Times New Roman" w:hAnsi="Times New Roman"/>
          <w:sz w:val="20"/>
        </w:rPr>
        <w:t xml:space="preserve"> means a written request signed in the name of the Company by its Chief Executive Officer, Chief Financial Officer or a Vice President, and by its Secretary or an Assistant Secretary, and delivered to the Trustee. </w:t>
      </w:r>
    </w:p>
    <w:p>
      <w:pPr>
        <w:pStyle w:val="TextBody"/>
        <w:bidi w:val="0"/>
        <w:spacing w:before="240" w:after="0"/>
        <w:jc w:val="left"/>
        <w:rPr>
          <w:rFonts w:ascii="Times New Roman" w:hAnsi="Times New Roman"/>
          <w:sz w:val="20"/>
        </w:rPr>
      </w:pPr>
      <w:r>
        <w:rPr>
          <w:rFonts w:ascii="Times New Roman" w:hAnsi="Times New Roman"/>
          <w:i/>
          <w:sz w:val="20"/>
        </w:rPr>
        <w:t>Corporate Trust Office</w:t>
      </w:r>
      <w:r>
        <w:rPr>
          <w:rFonts w:ascii="Times New Roman" w:hAnsi="Times New Roman"/>
          <w:sz w:val="20"/>
        </w:rPr>
        <w:t xml:space="preserve"> means the office of the Trustee at which at any particular time its corporate trust business shall be principally administered. </w:t>
      </w:r>
    </w:p>
    <w:p>
      <w:pPr>
        <w:pStyle w:val="TextBody"/>
        <w:bidi w:val="0"/>
        <w:spacing w:before="240" w:after="0"/>
        <w:jc w:val="left"/>
        <w:rPr>
          <w:rFonts w:ascii="Times New Roman" w:hAnsi="Times New Roman"/>
          <w:sz w:val="20"/>
        </w:rPr>
      </w:pPr>
      <w:r>
        <w:rPr>
          <w:rFonts w:ascii="Times New Roman" w:hAnsi="Times New Roman"/>
          <w:i/>
          <w:sz w:val="20"/>
        </w:rPr>
        <w:t>Default</w:t>
      </w:r>
      <w:r>
        <w:rPr>
          <w:rFonts w:ascii="Times New Roman" w:hAnsi="Times New Roman"/>
          <w:sz w:val="20"/>
        </w:rPr>
        <w:t xml:space="preserve"> means any event which is, or after notice or passage of time or both would be, an Event of Default. </w:t>
      </w:r>
    </w:p>
    <w:p>
      <w:pPr>
        <w:pStyle w:val="TextBody"/>
        <w:bidi w:val="0"/>
        <w:spacing w:before="240" w:after="0"/>
        <w:jc w:val="left"/>
        <w:rPr>
          <w:rFonts w:ascii="Times New Roman" w:hAnsi="Times New Roman"/>
          <w:sz w:val="20"/>
        </w:rPr>
      </w:pPr>
      <w:r>
        <w:rPr>
          <w:rFonts w:ascii="Times New Roman" w:hAnsi="Times New Roman"/>
          <w:i/>
          <w:sz w:val="20"/>
        </w:rPr>
        <w:t>Depository</w:t>
      </w:r>
      <w:r>
        <w:rPr>
          <w:rFonts w:ascii="Times New Roman" w:hAnsi="Times New Roman"/>
          <w:sz w:val="20"/>
        </w:rPr>
        <w:t xml:space="preserve"> means, with respect to the Securities of any Series issuable or issued in whole or part in the form of one or more Global Securities, the person designated as Depositary for such Series by the Company, which Depository shall be a clearing agency registered under the Exchange Act; and if at any time there is more than one such person, </w:t>
      </w:r>
      <w:r>
        <w:rPr>
          <w:rFonts w:ascii="Times New Roman" w:hAnsi="Times New Roman"/>
          <w:i/>
          <w:sz w:val="20"/>
        </w:rPr>
        <w:t>Depository</w:t>
      </w:r>
      <w:r>
        <w:rPr>
          <w:rFonts w:ascii="Times New Roman" w:hAnsi="Times New Roman"/>
          <w:sz w:val="20"/>
        </w:rPr>
        <w:t xml:space="preserve"> as used with respect to the Securities of any Series shall mean the Depository with respect to the Securities of such Series. </w:t>
      </w:r>
    </w:p>
    <w:p>
      <w:pPr>
        <w:pStyle w:val="TextBody"/>
        <w:bidi w:val="0"/>
        <w:spacing w:before="240" w:after="0"/>
        <w:jc w:val="left"/>
        <w:rPr>
          <w:rFonts w:ascii="Times New Roman" w:hAnsi="Times New Roman"/>
          <w:sz w:val="20"/>
        </w:rPr>
      </w:pPr>
      <w:r>
        <w:rPr>
          <w:rFonts w:ascii="Times New Roman" w:hAnsi="Times New Roman"/>
          <w:i/>
          <w:sz w:val="20"/>
        </w:rPr>
        <w:t>Discount Security</w:t>
      </w:r>
      <w:r>
        <w:rPr>
          <w:rFonts w:ascii="Times New Roman" w:hAnsi="Times New Roman"/>
          <w:sz w:val="20"/>
        </w:rPr>
        <w:t xml:space="preserve"> means any Security that provides for an amount less than the stated principal amount thereof to be due and payable upon declaration of acceleration of the Maturity thereof pursuant to Section 6.02. </w:t>
      </w:r>
    </w:p>
    <w:p>
      <w:pPr>
        <w:pStyle w:val="TextBody"/>
        <w:bidi w:val="0"/>
        <w:spacing w:before="240" w:after="0"/>
        <w:jc w:val="left"/>
        <w:rPr>
          <w:rFonts w:ascii="Times New Roman" w:hAnsi="Times New Roman"/>
          <w:sz w:val="20"/>
        </w:rPr>
      </w:pPr>
      <w:r>
        <w:rPr>
          <w:rFonts w:ascii="Times New Roman" w:hAnsi="Times New Roman"/>
          <w:i/>
          <w:sz w:val="20"/>
        </w:rPr>
        <w:t>Dollars</w:t>
      </w:r>
      <w:r>
        <w:rPr>
          <w:rFonts w:ascii="Times New Roman" w:hAnsi="Times New Roman"/>
          <w:sz w:val="20"/>
        </w:rPr>
        <w:t xml:space="preserve"> and </w:t>
      </w:r>
      <w:r>
        <w:rPr>
          <w:rFonts w:ascii="Times New Roman" w:hAnsi="Times New Roman"/>
          <w:i/>
          <w:sz w:val="20"/>
        </w:rPr>
        <w:t>$</w:t>
      </w:r>
      <w:r>
        <w:rPr>
          <w:rFonts w:ascii="Times New Roman" w:hAnsi="Times New Roman"/>
          <w:sz w:val="20"/>
        </w:rPr>
        <w:t xml:space="preserve"> means the currency of The United States of America. </w:t>
      </w:r>
    </w:p>
    <w:p>
      <w:pPr>
        <w:pStyle w:val="TextBody"/>
        <w:bidi w:val="0"/>
        <w:spacing w:before="240" w:after="0"/>
        <w:jc w:val="left"/>
        <w:rPr>
          <w:rFonts w:ascii="Times New Roman" w:hAnsi="Times New Roman"/>
          <w:sz w:val="20"/>
        </w:rPr>
      </w:pPr>
      <w:r>
        <w:rPr>
          <w:rFonts w:ascii="Times New Roman" w:hAnsi="Times New Roman"/>
          <w:i/>
          <w:sz w:val="20"/>
        </w:rPr>
        <w:t>DTC</w:t>
      </w:r>
      <w:r>
        <w:rPr>
          <w:rFonts w:ascii="Times New Roman" w:hAnsi="Times New Roman"/>
          <w:sz w:val="20"/>
        </w:rPr>
        <w:t xml:space="preserve"> means the Depository Trust Company, a New York corporation. </w:t>
      </w:r>
    </w:p>
    <w:p>
      <w:pPr>
        <w:pStyle w:val="TextBody"/>
        <w:bidi w:val="0"/>
        <w:spacing w:before="240" w:after="0"/>
        <w:jc w:val="left"/>
        <w:rPr>
          <w:rFonts w:ascii="Times New Roman" w:hAnsi="Times New Roman"/>
          <w:sz w:val="20"/>
        </w:rPr>
      </w:pPr>
      <w:r>
        <w:rPr>
          <w:rFonts w:ascii="Times New Roman" w:hAnsi="Times New Roman"/>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i/>
          <w:sz w:val="20"/>
        </w:rPr>
        <w:t>Foreign Currency</w:t>
      </w:r>
      <w:r>
        <w:rPr>
          <w:rFonts w:ascii="Times New Roman" w:hAnsi="Times New Roman"/>
          <w:sz w:val="20"/>
        </w:rPr>
        <w:t xml:space="preserve"> means any currency or currency unit issued by a government other than the government of The United States of America. </w:t>
      </w:r>
    </w:p>
    <w:p>
      <w:pPr>
        <w:pStyle w:val="TextBody"/>
        <w:bidi w:val="0"/>
        <w:spacing w:before="240" w:after="0"/>
        <w:jc w:val="left"/>
        <w:rPr>
          <w:rFonts w:ascii="Times New Roman" w:hAnsi="Times New Roman"/>
          <w:sz w:val="20"/>
        </w:rPr>
      </w:pPr>
      <w:r>
        <w:rPr>
          <w:rFonts w:ascii="Times New Roman" w:hAnsi="Times New Roman"/>
          <w:i/>
          <w:sz w:val="20"/>
        </w:rPr>
        <w:t>Foreign Government Obligations</w:t>
      </w:r>
      <w:r>
        <w:rPr>
          <w:rFonts w:ascii="Times New Roman" w:hAnsi="Times New Roman"/>
          <w:sz w:val="20"/>
        </w:rPr>
        <w:t xml:space="preserve"> means, with respect to Securities of any Series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 </w:t>
      </w:r>
    </w:p>
    <w:p>
      <w:pPr>
        <w:pStyle w:val="TextBody"/>
        <w:bidi w:val="0"/>
        <w:spacing w:before="240" w:after="0"/>
        <w:jc w:val="left"/>
        <w:rPr>
          <w:rFonts w:ascii="Times New Roman" w:hAnsi="Times New Roman"/>
          <w:sz w:val="20"/>
        </w:rPr>
      </w:pPr>
      <w:r>
        <w:rPr>
          <w:rFonts w:ascii="Times New Roman" w:hAnsi="Times New Roman"/>
          <w:i/>
          <w:sz w:val="20"/>
        </w:rPr>
        <w:t>GAAP</w:t>
      </w:r>
      <w:r>
        <w:rPr>
          <w:rFonts w:ascii="Times New Roman" w:hAnsi="Times New Roman"/>
          <w:sz w:val="20"/>
        </w:rPr>
        <w:t xml:space="preserve"> means United States generally accepted accounting principles promulgated by the Financial Accounting Standards Board or by such other entity as the Commission may designate for that purpose. </w:t>
      </w:r>
    </w:p>
    <w:p>
      <w:pPr>
        <w:pStyle w:val="TextBody"/>
        <w:bidi w:val="0"/>
        <w:spacing w:before="240" w:after="0"/>
        <w:jc w:val="left"/>
        <w:rPr>
          <w:rFonts w:ascii="Times New Roman" w:hAnsi="Times New Roman"/>
          <w:sz w:val="20"/>
        </w:rPr>
      </w:pPr>
      <w:r>
        <w:rPr>
          <w:rFonts w:ascii="Times New Roman" w:hAnsi="Times New Roman"/>
          <w:i/>
          <w:sz w:val="20"/>
        </w:rPr>
        <w:t>Global Security</w:t>
      </w:r>
      <w:r>
        <w:rPr>
          <w:rFonts w:ascii="Times New Roman" w:hAnsi="Times New Roman"/>
          <w:sz w:val="20"/>
        </w:rPr>
        <w:t xml:space="preserve"> or </w:t>
      </w:r>
      <w:r>
        <w:rPr>
          <w:rFonts w:ascii="Times New Roman" w:hAnsi="Times New Roman"/>
          <w:i/>
          <w:sz w:val="20"/>
        </w:rPr>
        <w:t>Global Securities</w:t>
      </w:r>
      <w:r>
        <w:rPr>
          <w:rFonts w:ascii="Times New Roman" w:hAnsi="Times New Roman"/>
          <w:sz w:val="20"/>
        </w:rPr>
        <w:t xml:space="preserve"> means a Security or Securities, as the case may be, in the form established pursuant to Section 2.02 evidencing all or part of a Series of Securities, issued to the Depository for such Series or its nominee, and registered in the name of such Depository or nominee. </w:t>
      </w:r>
    </w:p>
    <w:p>
      <w:pPr>
        <w:pStyle w:val="TextBody"/>
        <w:bidi w:val="0"/>
        <w:spacing w:before="240" w:after="0"/>
        <w:jc w:val="left"/>
        <w:rPr>
          <w:rFonts w:ascii="Times New Roman" w:hAnsi="Times New Roman"/>
          <w:sz w:val="20"/>
        </w:rPr>
      </w:pPr>
      <w:r>
        <w:rPr>
          <w:rFonts w:ascii="Times New Roman" w:hAnsi="Times New Roman"/>
          <w:i/>
          <w:sz w:val="20"/>
        </w:rPr>
        <w:t>Holder</w:t>
      </w:r>
      <w:r>
        <w:rPr>
          <w:rFonts w:ascii="Times New Roman" w:hAnsi="Times New Roman"/>
          <w:sz w:val="20"/>
        </w:rPr>
        <w:t xml:space="preserve"> means a person in whose name a Security is registered or the holder of a Bearer Security. </w:t>
      </w:r>
    </w:p>
    <w:p>
      <w:pPr>
        <w:pStyle w:val="TextBody"/>
        <w:bidi w:val="0"/>
        <w:spacing w:before="240" w:after="0"/>
        <w:jc w:val="left"/>
        <w:rPr>
          <w:rFonts w:ascii="Times New Roman" w:hAnsi="Times New Roman"/>
          <w:sz w:val="20"/>
        </w:rPr>
      </w:pPr>
      <w:r>
        <w:rPr>
          <w:rFonts w:ascii="Times New Roman" w:hAnsi="Times New Roman"/>
          <w:i/>
          <w:sz w:val="20"/>
        </w:rPr>
        <w:t>Indenture</w:t>
      </w:r>
      <w:r>
        <w:rPr>
          <w:rFonts w:ascii="Times New Roman" w:hAnsi="Times New Roman"/>
          <w:sz w:val="20"/>
        </w:rPr>
        <w:t xml:space="preserve"> means this Indenture as amended or supplemented from time to time and shall include the form and terms of particular Series of Securities established as contemplated hereunder. </w:t>
      </w:r>
    </w:p>
    <w:p>
      <w:pPr>
        <w:pStyle w:val="TextBody"/>
        <w:bidi w:val="0"/>
        <w:spacing w:before="240" w:after="0"/>
        <w:jc w:val="left"/>
        <w:rPr>
          <w:rFonts w:ascii="Times New Roman" w:hAnsi="Times New Roman"/>
          <w:sz w:val="20"/>
        </w:rPr>
      </w:pPr>
      <w:r>
        <w:rPr>
          <w:rFonts w:ascii="Times New Roman" w:hAnsi="Times New Roman"/>
          <w:i/>
          <w:sz w:val="20"/>
        </w:rPr>
        <w:t>interest</w:t>
      </w:r>
      <w:r>
        <w:rPr>
          <w:rFonts w:ascii="Times New Roman" w:hAnsi="Times New Roman"/>
          <w:sz w:val="20"/>
        </w:rPr>
        <w:t xml:space="preserve"> with respect to any Discount Security which by its terms bears interest only after Maturity means interest payable after Maturity. </w:t>
      </w:r>
    </w:p>
    <w:p>
      <w:pPr>
        <w:pStyle w:val="TextBody"/>
        <w:bidi w:val="0"/>
        <w:spacing w:before="240" w:after="0"/>
        <w:jc w:val="left"/>
        <w:rPr>
          <w:rFonts w:ascii="Times New Roman" w:hAnsi="Times New Roman"/>
          <w:sz w:val="20"/>
        </w:rPr>
      </w:pPr>
      <w:r>
        <w:rPr>
          <w:rFonts w:ascii="Times New Roman" w:hAnsi="Times New Roman"/>
          <w:i/>
          <w:sz w:val="20"/>
        </w:rPr>
        <w:t>Maturity</w:t>
      </w:r>
      <w:r>
        <w:rPr>
          <w:rFonts w:ascii="Times New Roman" w:hAnsi="Times New Roman"/>
          <w:sz w:val="20"/>
        </w:rPr>
        <w:t xml:space="preserve">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or otherwise. </w:t>
      </w:r>
    </w:p>
    <w:p>
      <w:pPr>
        <w:pStyle w:val="TextBody"/>
        <w:bidi w:val="0"/>
        <w:spacing w:before="240" w:after="0"/>
        <w:jc w:val="left"/>
        <w:rPr>
          <w:rFonts w:ascii="Times New Roman" w:hAnsi="Times New Roman"/>
          <w:sz w:val="20"/>
        </w:rPr>
      </w:pPr>
      <w:r>
        <w:rPr>
          <w:rFonts w:ascii="Times New Roman" w:hAnsi="Times New Roman"/>
          <w:i/>
          <w:sz w:val="20"/>
        </w:rPr>
        <w:t>Officer</w:t>
      </w:r>
      <w:r>
        <w:rPr>
          <w:rFonts w:ascii="Times New Roman" w:hAnsi="Times New Roman"/>
          <w:sz w:val="20"/>
        </w:rPr>
        <w:t xml:space="preserve"> means the Chief Executive Officer, Chief Financial Officer, any Vice-President, the Secretary, or any Assistant Secretary of the Company. </w:t>
      </w:r>
    </w:p>
    <w:p>
      <w:pPr>
        <w:pStyle w:val="TextBody"/>
        <w:bidi w:val="0"/>
        <w:spacing w:before="240" w:after="0"/>
        <w:jc w:val="left"/>
        <w:rPr>
          <w:rFonts w:ascii="Times New Roman" w:hAnsi="Times New Roman"/>
          <w:sz w:val="20"/>
        </w:rPr>
      </w:pPr>
      <w:r>
        <w:rPr>
          <w:rFonts w:ascii="Times New Roman" w:hAnsi="Times New Roman"/>
          <w:i/>
          <w:sz w:val="20"/>
        </w:rPr>
        <w:t>Officers Certificate</w:t>
      </w:r>
      <w:r>
        <w:rPr>
          <w:rFonts w:ascii="Times New Roman" w:hAnsi="Times New Roman"/>
          <w:sz w:val="20"/>
        </w:rPr>
        <w:t xml:space="preserve"> means a certificate signed by two Officers, one of whom must be the Companys principal executive officer, principal financial officer or principal accounting officer. </w:t>
      </w:r>
    </w:p>
    <w:p>
      <w:pPr>
        <w:pStyle w:val="TextBody"/>
        <w:bidi w:val="0"/>
        <w:spacing w:before="240" w:after="0"/>
        <w:jc w:val="left"/>
        <w:rPr>
          <w:rFonts w:ascii="Times New Roman" w:hAnsi="Times New Roman"/>
          <w:sz w:val="20"/>
        </w:rPr>
      </w:pPr>
      <w:r>
        <w:rPr>
          <w:rFonts w:ascii="Times New Roman" w:hAnsi="Times New Roman"/>
          <w:i/>
          <w:sz w:val="20"/>
        </w:rPr>
        <w:t>Opinion of Counsel</w:t>
      </w:r>
      <w:r>
        <w:rPr>
          <w:rFonts w:ascii="Times New Roman" w:hAnsi="Times New Roman"/>
          <w:sz w:val="20"/>
        </w:rPr>
        <w:t xml:space="preserve"> means a written opinion of legal counsel who is reasonably acceptable to the Trustee. The counsel may be an employee of or counsel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person</w:t>
      </w:r>
      <w:r>
        <w:rPr>
          <w:rFonts w:ascii="Times New Roman" w:hAnsi="Times New Roman"/>
          <w:sz w:val="20"/>
        </w:rPr>
        <w:t xml:space="preserve"> means any individual, corporation, partnership, joint venture, association, limited liability company, joint-stock company, trust, unincorporated organization or government or any agency or political subdivision thereof. </w:t>
      </w:r>
    </w:p>
    <w:p>
      <w:pPr>
        <w:pStyle w:val="TextBody"/>
        <w:bidi w:val="0"/>
        <w:spacing w:before="240" w:after="0"/>
        <w:jc w:val="left"/>
        <w:rPr>
          <w:rFonts w:ascii="Times New Roman" w:hAnsi="Times New Roman"/>
          <w:sz w:val="20"/>
        </w:rPr>
      </w:pPr>
      <w:r>
        <w:rPr>
          <w:rFonts w:ascii="Times New Roman" w:hAnsi="Times New Roman"/>
          <w:i/>
          <w:sz w:val="20"/>
        </w:rPr>
        <w:t>principal</w:t>
      </w:r>
      <w:r>
        <w:rPr>
          <w:rFonts w:ascii="Times New Roman" w:hAnsi="Times New Roman"/>
          <w:sz w:val="20"/>
        </w:rPr>
        <w:t xml:space="preserve"> of a Security means the principal of the Security plus, when appropriate, the premium, if any, on, and any Additional Amounts in respect of, the Security. </w:t>
      </w:r>
    </w:p>
    <w:p>
      <w:pPr>
        <w:pStyle w:val="TextBody"/>
        <w:bidi w:val="0"/>
        <w:spacing w:before="240" w:after="0"/>
        <w:jc w:val="left"/>
        <w:rPr>
          <w:rFonts w:ascii="Times New Roman" w:hAnsi="Times New Roman"/>
          <w:sz w:val="20"/>
        </w:rPr>
      </w:pPr>
      <w:r>
        <w:rPr>
          <w:rFonts w:ascii="Times New Roman" w:hAnsi="Times New Roman"/>
          <w:i/>
          <w:sz w:val="20"/>
        </w:rPr>
        <w:t>Responsible Officer</w:t>
      </w:r>
      <w:r>
        <w:rPr>
          <w:rFonts w:ascii="Times New Roman" w:hAnsi="Times New Roman"/>
          <w:sz w:val="20"/>
        </w:rPr>
        <w:t xml:space="preserve"> means any officer of the Trustee in its Corporate Trust Office with direct responsibility for the administration of this Indenture and also means, with respect to a particular corporate trust matter, any other officer to whom any corporate trust matter is referred because of his or her knowledge of and familiarity with a particular subject. </w:t>
      </w:r>
    </w:p>
    <w:p>
      <w:pPr>
        <w:pStyle w:val="TextBody"/>
        <w:bidi w:val="0"/>
        <w:spacing w:before="240" w:after="0"/>
        <w:jc w:val="left"/>
        <w:rPr>
          <w:rFonts w:ascii="Times New Roman" w:hAnsi="Times New Roman"/>
          <w:sz w:val="20"/>
        </w:rPr>
      </w:pPr>
      <w:r>
        <w:rPr>
          <w:rFonts w:ascii="Times New Roman" w:hAnsi="Times New Roman"/>
          <w:i/>
          <w:sz w:val="20"/>
        </w:rPr>
        <w:t>Securities</w:t>
      </w:r>
      <w:r>
        <w:rPr>
          <w:rFonts w:ascii="Times New Roman" w:hAnsi="Times New Roman"/>
          <w:sz w:val="20"/>
        </w:rPr>
        <w:t xml:space="preserve"> means the debentures, notes or other debt instruments of the Company of any Series authenticated and delivered under this Indenture. </w:t>
      </w:r>
    </w:p>
    <w:p>
      <w:pPr>
        <w:pStyle w:val="TextBody"/>
        <w:bidi w:val="0"/>
        <w:spacing w:before="240" w:after="0"/>
        <w:jc w:val="left"/>
        <w:rPr>
          <w:rFonts w:ascii="Times New Roman" w:hAnsi="Times New Roman"/>
          <w:sz w:val="20"/>
        </w:rPr>
      </w:pPr>
      <w:r>
        <w:rPr>
          <w:rFonts w:ascii="Times New Roman" w:hAnsi="Times New Roman"/>
          <w:i/>
          <w:sz w:val="20"/>
        </w:rPr>
        <w:t>Series</w:t>
      </w:r>
      <w:r>
        <w:rPr>
          <w:rFonts w:ascii="Times New Roman" w:hAnsi="Times New Roman"/>
          <w:sz w:val="20"/>
        </w:rPr>
        <w:t xml:space="preserve"> or </w:t>
      </w:r>
      <w:r>
        <w:rPr>
          <w:rFonts w:ascii="Times New Roman" w:hAnsi="Times New Roman"/>
          <w:i/>
          <w:sz w:val="20"/>
        </w:rPr>
        <w:t>Series of Securities</w:t>
      </w:r>
      <w:r>
        <w:rPr>
          <w:rFonts w:ascii="Times New Roman" w:hAnsi="Times New Roman"/>
          <w:sz w:val="20"/>
        </w:rPr>
        <w:t xml:space="preserve"> means each series of debentures, notes or other debt instruments of the Company created pursuant to Sections 2.01 and 2.02 hereof. </w:t>
      </w:r>
    </w:p>
    <w:p>
      <w:pPr>
        <w:pStyle w:val="TextBody"/>
        <w:bidi w:val="0"/>
        <w:spacing w:before="240" w:after="0"/>
        <w:jc w:val="left"/>
        <w:rPr>
          <w:rFonts w:ascii="Times New Roman" w:hAnsi="Times New Roman"/>
          <w:sz w:val="20"/>
        </w:rPr>
      </w:pPr>
      <w:r>
        <w:rPr>
          <w:rFonts w:ascii="Times New Roman" w:hAnsi="Times New Roman"/>
          <w:i/>
          <w:sz w:val="20"/>
        </w:rPr>
        <w:t>Stated Maturity</w:t>
      </w:r>
      <w:r>
        <w:rPr>
          <w:rFonts w:ascii="Times New Roman" w:hAnsi="Times New Roman"/>
          <w:sz w:val="20"/>
        </w:rPr>
        <w:t xml:space="preserve"> means when used with respect to any Security or any installment of principal thereof or interest, if any, thereon, the date specified in such Security as the fixed date on which the principal of such Security or such installment of principal or interest, if any, is due and payable. </w:t>
      </w:r>
    </w:p>
    <w:p>
      <w:pPr>
        <w:pStyle w:val="TextBody"/>
        <w:bidi w:val="0"/>
        <w:spacing w:before="240" w:after="0"/>
        <w:jc w:val="left"/>
        <w:rPr>
          <w:rFonts w:ascii="Times New Roman" w:hAnsi="Times New Roman"/>
          <w:sz w:val="20"/>
        </w:rPr>
      </w:pPr>
      <w:r>
        <w:rPr>
          <w:rFonts w:ascii="Times New Roman" w:hAnsi="Times New Roman"/>
          <w:i/>
          <w:sz w:val="20"/>
        </w:rPr>
        <w:t>Subsidiary</w:t>
      </w:r>
      <w:r>
        <w:rPr>
          <w:rFonts w:ascii="Times New Roman" w:hAnsi="Times New Roman"/>
          <w:sz w:val="20"/>
        </w:rPr>
        <w:t xml:space="preserve"> means, with respect to any person, any corporation, association or other business entity of which more than 50% of the total voting power of shares of Capital Interests entitled (without regard to the occurrence of any contingency) to vote in the election of directors, managers or trustees thereof or, in the case of a partnership, more than 50% of the partners Capital Interests (considering all partners Capital Interests as a single class), is at the time owned or controlled, directly or indirectly, by such person or one or more of the other Subsidiaries of such person or combination thereof. </w:t>
      </w:r>
    </w:p>
    <w:p>
      <w:pPr>
        <w:pStyle w:val="TextBody"/>
        <w:bidi w:val="0"/>
        <w:spacing w:before="240" w:after="0"/>
        <w:jc w:val="left"/>
        <w:rPr>
          <w:rFonts w:ascii="Times New Roman" w:hAnsi="Times New Roman"/>
          <w:sz w:val="20"/>
        </w:rPr>
      </w:pPr>
      <w:r>
        <w:rPr>
          <w:rFonts w:ascii="Times New Roman" w:hAnsi="Times New Roman"/>
          <w:i/>
          <w:sz w:val="20"/>
        </w:rPr>
        <w:t>TIA</w:t>
      </w:r>
      <w:r>
        <w:rPr>
          <w:rFonts w:ascii="Times New Roman" w:hAnsi="Times New Roman"/>
          <w:sz w:val="20"/>
        </w:rPr>
        <w:t xml:space="preserve"> means the Trust Indenture Act of 1939 (15 U.S. Code Sections 77aaa-77bbbb) as in effect on the date of this Indenture and the rules and regulations promulgated thereunder; provided, however, that in the event the Trust Indenture Act of 1939 is amended after such date, TIA means, to the extent required by any such amendment, the Trust Indenture Act as so amended. </w:t>
      </w:r>
    </w:p>
    <w:p>
      <w:pPr>
        <w:pStyle w:val="TextBody"/>
        <w:bidi w:val="0"/>
        <w:spacing w:before="240" w:after="0"/>
        <w:jc w:val="left"/>
        <w:rPr>
          <w:rFonts w:ascii="Times New Roman" w:hAnsi="Times New Roman"/>
          <w:sz w:val="20"/>
        </w:rPr>
      </w:pPr>
      <w:r>
        <w:rPr>
          <w:rFonts w:ascii="Times New Roman" w:hAnsi="Times New Roman"/>
          <w:i/>
          <w:sz w:val="20"/>
        </w:rPr>
        <w:t>Trustee</w:t>
      </w:r>
      <w:r>
        <w:rPr>
          <w:rFonts w:ascii="Times New Roman" w:hAnsi="Times New Roman"/>
          <w:sz w:val="20"/>
        </w:rPr>
        <w:t xml:space="preserve"> means the person named as the Trustee in the first paragraph of this instrument until a successor Trustee shall have become such pursuant to the applicable provisions of this Indenture, and thereafter Trustee shall mean each person who is then a Trustee hereunder, and if at any time there is more than one such person, Trustee as used with respect to the Securities of any Series shall mean the Trustee with respect to Securities of that Series. </w:t>
      </w:r>
    </w:p>
    <w:p>
      <w:pPr>
        <w:pStyle w:val="TextBody"/>
        <w:bidi w:val="0"/>
        <w:spacing w:before="240" w:after="0"/>
        <w:jc w:val="left"/>
        <w:rPr>
          <w:rFonts w:ascii="Times New Roman" w:hAnsi="Times New Roman"/>
          <w:sz w:val="20"/>
        </w:rPr>
      </w:pPr>
      <w:r>
        <w:rPr>
          <w:rFonts w:ascii="Times New Roman" w:hAnsi="Times New Roman"/>
          <w:i/>
          <w:sz w:val="20"/>
        </w:rPr>
        <w:t>U.S. Government Obligations</w:t>
      </w:r>
      <w:r>
        <w:rPr>
          <w:rFonts w:ascii="Times New Roman" w:hAnsi="Times New Roman"/>
          <w:sz w:val="20"/>
        </w:rPr>
        <w:t xml:space="preserve">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1.02 Other Definitions.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01"/>
        <w:gridCol w:w="122"/>
        <w:gridCol w:w="1082"/>
      </w:tblGrid>
      <w:tr>
        <w:trPr/>
        <w:tc>
          <w:tcPr>
            <w:tcW w:w="900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90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122" w:type="dxa"/>
            <w:tcBorders/>
            <w:vAlign w:val="bottom"/>
          </w:tcPr>
          <w:p>
            <w:pPr>
              <w:pStyle w:val="TableContents"/>
              <w:bidi w:val="0"/>
              <w:spacing w:before="0" w:after="283"/>
              <w:jc w:val="left"/>
              <w:rPr/>
            </w:pPr>
            <w:r>
              <w:rPr/>
              <w:t>  </w:t>
            </w:r>
          </w:p>
        </w:tc>
        <w:tc>
          <w:tcPr>
            <w:tcW w:w="108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DEFINED IN</w:t>
              <w:br/>
              <w:t>SECTION</w:t>
            </w:r>
          </w:p>
        </w:tc>
      </w:tr>
      <w:tr>
        <w:trPr/>
        <w:tc>
          <w:tcPr>
            <w:tcW w:w="9001" w:type="dxa"/>
            <w:tcBorders/>
          </w:tcPr>
          <w:p>
            <w:pPr>
              <w:pStyle w:val="TableContents"/>
              <w:bidi w:val="0"/>
              <w:spacing w:before="0" w:after="283"/>
              <w:jc w:val="left"/>
              <w:rPr>
                <w:i/>
              </w:rPr>
            </w:pPr>
            <w:r>
              <w:rPr>
                <w:i/>
              </w:rPr>
              <w:t>Bankruptcy Law</w:t>
            </w:r>
          </w:p>
        </w:tc>
        <w:tc>
          <w:tcPr>
            <w:tcW w:w="122" w:type="dxa"/>
            <w:tcBorders/>
            <w:vAlign w:val="bottom"/>
          </w:tcPr>
          <w:p>
            <w:pPr>
              <w:pStyle w:val="TableContents"/>
              <w:bidi w:val="0"/>
              <w:spacing w:before="0" w:after="283"/>
              <w:jc w:val="left"/>
              <w:rPr/>
            </w:pPr>
            <w:r>
              <w:rPr/>
              <w:t>  </w:t>
            </w:r>
          </w:p>
        </w:tc>
        <w:tc>
          <w:tcPr>
            <w:tcW w:w="1082" w:type="dxa"/>
            <w:tcBorders/>
          </w:tcPr>
          <w:p>
            <w:pPr>
              <w:pStyle w:val="TableContents"/>
              <w:bidi w:val="0"/>
              <w:spacing w:before="0" w:after="283"/>
              <w:jc w:val="right"/>
              <w:rPr/>
            </w:pPr>
            <w:r>
              <w:rPr/>
              <w:t>6.01</w:t>
            </w:r>
          </w:p>
        </w:tc>
      </w:tr>
      <w:tr>
        <w:trPr/>
        <w:tc>
          <w:tcPr>
            <w:tcW w:w="9001" w:type="dxa"/>
            <w:tcBorders/>
          </w:tcPr>
          <w:p>
            <w:pPr>
              <w:pStyle w:val="TableContents"/>
              <w:bidi w:val="0"/>
              <w:spacing w:before="0" w:after="283"/>
              <w:jc w:val="left"/>
              <w:rPr>
                <w:i/>
              </w:rPr>
            </w:pPr>
            <w:r>
              <w:rPr>
                <w:i/>
              </w:rPr>
              <w:t>Notice of Default</w:t>
            </w:r>
          </w:p>
        </w:tc>
        <w:tc>
          <w:tcPr>
            <w:tcW w:w="122" w:type="dxa"/>
            <w:tcBorders/>
            <w:vAlign w:val="bottom"/>
          </w:tcPr>
          <w:p>
            <w:pPr>
              <w:pStyle w:val="TableContents"/>
              <w:bidi w:val="0"/>
              <w:spacing w:before="0" w:after="283"/>
              <w:jc w:val="left"/>
              <w:rPr/>
            </w:pPr>
            <w:r>
              <w:rPr/>
              <w:t>  </w:t>
            </w:r>
          </w:p>
        </w:tc>
        <w:tc>
          <w:tcPr>
            <w:tcW w:w="1082" w:type="dxa"/>
            <w:tcBorders/>
          </w:tcPr>
          <w:p>
            <w:pPr>
              <w:pStyle w:val="TableContents"/>
              <w:bidi w:val="0"/>
              <w:spacing w:before="0" w:after="283"/>
              <w:jc w:val="right"/>
              <w:rPr/>
            </w:pPr>
            <w:r>
              <w:rPr/>
              <w:t>6.01(c)</w:t>
            </w:r>
          </w:p>
        </w:tc>
      </w:tr>
      <w:tr>
        <w:trPr/>
        <w:tc>
          <w:tcPr>
            <w:tcW w:w="9001" w:type="dxa"/>
            <w:tcBorders/>
          </w:tcPr>
          <w:p>
            <w:pPr>
              <w:pStyle w:val="TableContents"/>
              <w:bidi w:val="0"/>
              <w:spacing w:before="0" w:after="283"/>
              <w:jc w:val="left"/>
              <w:rPr>
                <w:i/>
              </w:rPr>
            </w:pPr>
            <w:r>
              <w:rPr>
                <w:i/>
              </w:rPr>
              <w:t>Custodian</w:t>
            </w:r>
          </w:p>
        </w:tc>
        <w:tc>
          <w:tcPr>
            <w:tcW w:w="122" w:type="dxa"/>
            <w:tcBorders/>
            <w:vAlign w:val="bottom"/>
          </w:tcPr>
          <w:p>
            <w:pPr>
              <w:pStyle w:val="TableContents"/>
              <w:bidi w:val="0"/>
              <w:spacing w:before="0" w:after="283"/>
              <w:jc w:val="left"/>
              <w:rPr/>
            </w:pPr>
            <w:r>
              <w:rPr/>
              <w:t>  </w:t>
            </w:r>
          </w:p>
        </w:tc>
        <w:tc>
          <w:tcPr>
            <w:tcW w:w="1082" w:type="dxa"/>
            <w:tcBorders/>
          </w:tcPr>
          <w:p>
            <w:pPr>
              <w:pStyle w:val="TableContents"/>
              <w:bidi w:val="0"/>
              <w:spacing w:before="0" w:after="283"/>
              <w:jc w:val="right"/>
              <w:rPr/>
            </w:pPr>
            <w:r>
              <w:rPr/>
              <w:t>6.01</w:t>
            </w:r>
          </w:p>
        </w:tc>
      </w:tr>
      <w:tr>
        <w:trPr/>
        <w:tc>
          <w:tcPr>
            <w:tcW w:w="9001" w:type="dxa"/>
            <w:tcBorders/>
          </w:tcPr>
          <w:p>
            <w:pPr>
              <w:pStyle w:val="TableContents"/>
              <w:bidi w:val="0"/>
              <w:spacing w:before="0" w:after="283"/>
              <w:jc w:val="left"/>
              <w:rPr>
                <w:i/>
              </w:rPr>
            </w:pPr>
            <w:r>
              <w:rPr>
                <w:i/>
              </w:rPr>
              <w:t>Event of Default</w:t>
            </w:r>
          </w:p>
        </w:tc>
        <w:tc>
          <w:tcPr>
            <w:tcW w:w="122" w:type="dxa"/>
            <w:tcBorders/>
            <w:vAlign w:val="bottom"/>
          </w:tcPr>
          <w:p>
            <w:pPr>
              <w:pStyle w:val="TableContents"/>
              <w:bidi w:val="0"/>
              <w:spacing w:before="0" w:after="283"/>
              <w:jc w:val="left"/>
              <w:rPr/>
            </w:pPr>
            <w:r>
              <w:rPr/>
              <w:t>  </w:t>
            </w:r>
          </w:p>
        </w:tc>
        <w:tc>
          <w:tcPr>
            <w:tcW w:w="1082" w:type="dxa"/>
            <w:tcBorders/>
          </w:tcPr>
          <w:p>
            <w:pPr>
              <w:pStyle w:val="TableContents"/>
              <w:bidi w:val="0"/>
              <w:spacing w:before="0" w:after="283"/>
              <w:jc w:val="right"/>
              <w:rPr/>
            </w:pPr>
            <w:r>
              <w:rPr/>
              <w:t>6.01</w:t>
            </w:r>
          </w:p>
        </w:tc>
      </w:tr>
      <w:tr>
        <w:trPr/>
        <w:tc>
          <w:tcPr>
            <w:tcW w:w="9001" w:type="dxa"/>
            <w:tcBorders/>
          </w:tcPr>
          <w:p>
            <w:pPr>
              <w:pStyle w:val="TableContents"/>
              <w:bidi w:val="0"/>
              <w:spacing w:before="0" w:after="283"/>
              <w:jc w:val="left"/>
              <w:rPr>
                <w:i/>
              </w:rPr>
            </w:pPr>
            <w:r>
              <w:rPr>
                <w:i/>
              </w:rPr>
              <w:t>Judgment Currency</w:t>
            </w:r>
          </w:p>
        </w:tc>
        <w:tc>
          <w:tcPr>
            <w:tcW w:w="122" w:type="dxa"/>
            <w:tcBorders/>
            <w:vAlign w:val="bottom"/>
          </w:tcPr>
          <w:p>
            <w:pPr>
              <w:pStyle w:val="TableContents"/>
              <w:bidi w:val="0"/>
              <w:spacing w:before="0" w:after="283"/>
              <w:jc w:val="left"/>
              <w:rPr/>
            </w:pPr>
            <w:r>
              <w:rPr/>
              <w:t>  </w:t>
            </w:r>
          </w:p>
        </w:tc>
        <w:tc>
          <w:tcPr>
            <w:tcW w:w="1082" w:type="dxa"/>
            <w:tcBorders/>
          </w:tcPr>
          <w:p>
            <w:pPr>
              <w:pStyle w:val="TableContents"/>
              <w:bidi w:val="0"/>
              <w:spacing w:before="0" w:after="283"/>
              <w:jc w:val="right"/>
              <w:rPr/>
            </w:pPr>
            <w:r>
              <w:rPr/>
              <w:t>10.16</w:t>
            </w:r>
          </w:p>
        </w:tc>
      </w:tr>
      <w:tr>
        <w:trPr/>
        <w:tc>
          <w:tcPr>
            <w:tcW w:w="9001" w:type="dxa"/>
            <w:tcBorders/>
          </w:tcPr>
          <w:p>
            <w:pPr>
              <w:pStyle w:val="TableContents"/>
              <w:bidi w:val="0"/>
              <w:spacing w:before="0" w:after="283"/>
              <w:jc w:val="left"/>
              <w:rPr>
                <w:i/>
              </w:rPr>
            </w:pPr>
            <w:r>
              <w:rPr>
                <w:i/>
              </w:rPr>
              <w:t>Legal Holiday</w:t>
            </w:r>
          </w:p>
        </w:tc>
        <w:tc>
          <w:tcPr>
            <w:tcW w:w="122" w:type="dxa"/>
            <w:tcBorders/>
            <w:vAlign w:val="bottom"/>
          </w:tcPr>
          <w:p>
            <w:pPr>
              <w:pStyle w:val="TableContents"/>
              <w:bidi w:val="0"/>
              <w:spacing w:before="0" w:after="283"/>
              <w:jc w:val="left"/>
              <w:rPr/>
            </w:pPr>
            <w:r>
              <w:rPr/>
              <w:t>  </w:t>
            </w:r>
          </w:p>
        </w:tc>
        <w:tc>
          <w:tcPr>
            <w:tcW w:w="1082" w:type="dxa"/>
            <w:tcBorders/>
          </w:tcPr>
          <w:p>
            <w:pPr>
              <w:pStyle w:val="TableContents"/>
              <w:bidi w:val="0"/>
              <w:spacing w:before="0" w:after="283"/>
              <w:jc w:val="right"/>
              <w:rPr/>
            </w:pPr>
            <w:r>
              <w:rPr/>
              <w:t>10.07</w:t>
            </w:r>
          </w:p>
        </w:tc>
      </w:tr>
      <w:tr>
        <w:trPr/>
        <w:tc>
          <w:tcPr>
            <w:tcW w:w="9001" w:type="dxa"/>
            <w:tcBorders/>
          </w:tcPr>
          <w:p>
            <w:pPr>
              <w:pStyle w:val="TableContents"/>
              <w:bidi w:val="0"/>
              <w:spacing w:before="0" w:after="283"/>
              <w:jc w:val="left"/>
              <w:rPr>
                <w:i/>
              </w:rPr>
            </w:pPr>
            <w:r>
              <w:rPr>
                <w:i/>
              </w:rPr>
              <w:t>Mandatory Sinking Fund Payment</w:t>
            </w:r>
          </w:p>
        </w:tc>
        <w:tc>
          <w:tcPr>
            <w:tcW w:w="122" w:type="dxa"/>
            <w:tcBorders/>
            <w:vAlign w:val="bottom"/>
          </w:tcPr>
          <w:p>
            <w:pPr>
              <w:pStyle w:val="TableContents"/>
              <w:bidi w:val="0"/>
              <w:spacing w:before="0" w:after="283"/>
              <w:jc w:val="left"/>
              <w:rPr/>
            </w:pPr>
            <w:r>
              <w:rPr/>
              <w:t>  </w:t>
            </w:r>
          </w:p>
        </w:tc>
        <w:tc>
          <w:tcPr>
            <w:tcW w:w="1082" w:type="dxa"/>
            <w:tcBorders/>
          </w:tcPr>
          <w:p>
            <w:pPr>
              <w:pStyle w:val="TableContents"/>
              <w:bidi w:val="0"/>
              <w:spacing w:before="0" w:after="283"/>
              <w:jc w:val="right"/>
              <w:rPr/>
            </w:pPr>
            <w:r>
              <w:rPr/>
              <w:t>11.01</w:t>
            </w:r>
          </w:p>
        </w:tc>
      </w:tr>
      <w:tr>
        <w:trPr/>
        <w:tc>
          <w:tcPr>
            <w:tcW w:w="9001" w:type="dxa"/>
            <w:tcBorders/>
          </w:tcPr>
          <w:p>
            <w:pPr>
              <w:pStyle w:val="TableContents"/>
              <w:bidi w:val="0"/>
              <w:spacing w:before="0" w:after="283"/>
              <w:jc w:val="left"/>
              <w:rPr>
                <w:i/>
              </w:rPr>
            </w:pPr>
            <w:r>
              <w:rPr>
                <w:i/>
              </w:rPr>
              <w:t>Market Exchange Rate</w:t>
            </w:r>
          </w:p>
        </w:tc>
        <w:tc>
          <w:tcPr>
            <w:tcW w:w="122" w:type="dxa"/>
            <w:tcBorders/>
            <w:vAlign w:val="bottom"/>
          </w:tcPr>
          <w:p>
            <w:pPr>
              <w:pStyle w:val="TableContents"/>
              <w:bidi w:val="0"/>
              <w:spacing w:before="0" w:after="283"/>
              <w:jc w:val="left"/>
              <w:rPr/>
            </w:pPr>
            <w:r>
              <w:rPr/>
              <w:t>  </w:t>
            </w:r>
          </w:p>
        </w:tc>
        <w:tc>
          <w:tcPr>
            <w:tcW w:w="1082" w:type="dxa"/>
            <w:tcBorders/>
          </w:tcPr>
          <w:p>
            <w:pPr>
              <w:pStyle w:val="TableContents"/>
              <w:bidi w:val="0"/>
              <w:spacing w:before="0" w:after="283"/>
              <w:jc w:val="right"/>
              <w:rPr/>
            </w:pPr>
            <w:r>
              <w:rPr/>
              <w:t>10.15</w:t>
            </w:r>
          </w:p>
        </w:tc>
      </w:tr>
      <w:tr>
        <w:trPr/>
        <w:tc>
          <w:tcPr>
            <w:tcW w:w="9001" w:type="dxa"/>
            <w:tcBorders/>
          </w:tcPr>
          <w:p>
            <w:pPr>
              <w:pStyle w:val="TableContents"/>
              <w:bidi w:val="0"/>
              <w:spacing w:before="0" w:after="283"/>
              <w:jc w:val="left"/>
              <w:rPr>
                <w:i/>
              </w:rPr>
            </w:pPr>
            <w:r>
              <w:rPr>
                <w:i/>
              </w:rPr>
              <w:t>New York Banking Day</w:t>
            </w:r>
          </w:p>
        </w:tc>
        <w:tc>
          <w:tcPr>
            <w:tcW w:w="122" w:type="dxa"/>
            <w:tcBorders/>
            <w:vAlign w:val="bottom"/>
          </w:tcPr>
          <w:p>
            <w:pPr>
              <w:pStyle w:val="TableContents"/>
              <w:bidi w:val="0"/>
              <w:spacing w:before="0" w:after="283"/>
              <w:jc w:val="left"/>
              <w:rPr/>
            </w:pPr>
            <w:r>
              <w:rPr/>
              <w:t>  </w:t>
            </w:r>
          </w:p>
        </w:tc>
        <w:tc>
          <w:tcPr>
            <w:tcW w:w="1082" w:type="dxa"/>
            <w:tcBorders/>
          </w:tcPr>
          <w:p>
            <w:pPr>
              <w:pStyle w:val="TableContents"/>
              <w:bidi w:val="0"/>
              <w:spacing w:before="0" w:after="283"/>
              <w:jc w:val="right"/>
              <w:rPr/>
            </w:pPr>
            <w:r>
              <w:rPr/>
              <w:t>10.16</w:t>
            </w:r>
          </w:p>
        </w:tc>
      </w:tr>
      <w:tr>
        <w:trPr/>
        <w:tc>
          <w:tcPr>
            <w:tcW w:w="9001" w:type="dxa"/>
            <w:tcBorders/>
          </w:tcPr>
          <w:p>
            <w:pPr>
              <w:pStyle w:val="TableContents"/>
              <w:bidi w:val="0"/>
              <w:spacing w:before="0" w:after="283"/>
              <w:jc w:val="left"/>
              <w:rPr>
                <w:i/>
              </w:rPr>
            </w:pPr>
            <w:r>
              <w:rPr>
                <w:i/>
              </w:rPr>
              <w:t>Optional Sinking Fund Payment</w:t>
            </w:r>
          </w:p>
        </w:tc>
        <w:tc>
          <w:tcPr>
            <w:tcW w:w="122" w:type="dxa"/>
            <w:tcBorders/>
            <w:vAlign w:val="bottom"/>
          </w:tcPr>
          <w:p>
            <w:pPr>
              <w:pStyle w:val="TableContents"/>
              <w:bidi w:val="0"/>
              <w:spacing w:before="0" w:after="283"/>
              <w:jc w:val="left"/>
              <w:rPr/>
            </w:pPr>
            <w:r>
              <w:rPr/>
              <w:t>  </w:t>
            </w:r>
          </w:p>
        </w:tc>
        <w:tc>
          <w:tcPr>
            <w:tcW w:w="1082" w:type="dxa"/>
            <w:tcBorders/>
          </w:tcPr>
          <w:p>
            <w:pPr>
              <w:pStyle w:val="TableContents"/>
              <w:bidi w:val="0"/>
              <w:spacing w:before="0" w:after="283"/>
              <w:jc w:val="right"/>
              <w:rPr/>
            </w:pPr>
            <w:r>
              <w:rPr/>
              <w:t>11.01</w:t>
            </w:r>
          </w:p>
        </w:tc>
      </w:tr>
      <w:tr>
        <w:trPr/>
        <w:tc>
          <w:tcPr>
            <w:tcW w:w="9001" w:type="dxa"/>
            <w:tcBorders/>
          </w:tcPr>
          <w:p>
            <w:pPr>
              <w:pStyle w:val="TableContents"/>
              <w:bidi w:val="0"/>
              <w:spacing w:before="0" w:after="283"/>
              <w:jc w:val="left"/>
              <w:rPr>
                <w:i/>
              </w:rPr>
            </w:pPr>
            <w:r>
              <w:rPr>
                <w:i/>
              </w:rPr>
              <w:t>Paying Agent</w:t>
            </w:r>
          </w:p>
        </w:tc>
        <w:tc>
          <w:tcPr>
            <w:tcW w:w="122" w:type="dxa"/>
            <w:tcBorders/>
            <w:vAlign w:val="bottom"/>
          </w:tcPr>
          <w:p>
            <w:pPr>
              <w:pStyle w:val="TableContents"/>
              <w:bidi w:val="0"/>
              <w:spacing w:before="0" w:after="283"/>
              <w:jc w:val="left"/>
              <w:rPr/>
            </w:pPr>
            <w:r>
              <w:rPr/>
              <w:t>  </w:t>
            </w:r>
          </w:p>
        </w:tc>
        <w:tc>
          <w:tcPr>
            <w:tcW w:w="1082" w:type="dxa"/>
            <w:tcBorders/>
          </w:tcPr>
          <w:p>
            <w:pPr>
              <w:pStyle w:val="TableContents"/>
              <w:bidi w:val="0"/>
              <w:spacing w:before="0" w:after="283"/>
              <w:jc w:val="right"/>
              <w:rPr/>
            </w:pPr>
            <w:r>
              <w:rPr/>
              <w:t>2.04</w:t>
            </w:r>
          </w:p>
        </w:tc>
      </w:tr>
      <w:tr>
        <w:trPr/>
        <w:tc>
          <w:tcPr>
            <w:tcW w:w="9001" w:type="dxa"/>
            <w:tcBorders/>
          </w:tcPr>
          <w:p>
            <w:pPr>
              <w:pStyle w:val="TableContents"/>
              <w:bidi w:val="0"/>
              <w:spacing w:before="0" w:after="283"/>
              <w:jc w:val="left"/>
              <w:rPr>
                <w:i/>
              </w:rPr>
            </w:pPr>
            <w:r>
              <w:rPr>
                <w:i/>
              </w:rPr>
              <w:t>Registrar</w:t>
            </w:r>
          </w:p>
        </w:tc>
        <w:tc>
          <w:tcPr>
            <w:tcW w:w="122" w:type="dxa"/>
            <w:tcBorders/>
            <w:vAlign w:val="bottom"/>
          </w:tcPr>
          <w:p>
            <w:pPr>
              <w:pStyle w:val="TableContents"/>
              <w:bidi w:val="0"/>
              <w:spacing w:before="0" w:after="283"/>
              <w:jc w:val="left"/>
              <w:rPr/>
            </w:pPr>
            <w:r>
              <w:rPr/>
              <w:t>  </w:t>
            </w:r>
          </w:p>
        </w:tc>
        <w:tc>
          <w:tcPr>
            <w:tcW w:w="1082" w:type="dxa"/>
            <w:tcBorders/>
          </w:tcPr>
          <w:p>
            <w:pPr>
              <w:pStyle w:val="TableContents"/>
              <w:bidi w:val="0"/>
              <w:spacing w:before="0" w:after="283"/>
              <w:jc w:val="right"/>
              <w:rPr/>
            </w:pPr>
            <w:r>
              <w:rPr/>
              <w:t>2.04</w:t>
            </w:r>
          </w:p>
        </w:tc>
      </w:tr>
      <w:tr>
        <w:trPr/>
        <w:tc>
          <w:tcPr>
            <w:tcW w:w="9001" w:type="dxa"/>
            <w:tcBorders/>
          </w:tcPr>
          <w:p>
            <w:pPr>
              <w:pStyle w:val="TableContents"/>
              <w:bidi w:val="0"/>
              <w:spacing w:before="0" w:after="283"/>
              <w:jc w:val="left"/>
              <w:rPr>
                <w:i/>
              </w:rPr>
            </w:pPr>
            <w:r>
              <w:rPr>
                <w:i/>
              </w:rPr>
              <w:t>Required Currency</w:t>
            </w:r>
          </w:p>
        </w:tc>
        <w:tc>
          <w:tcPr>
            <w:tcW w:w="122" w:type="dxa"/>
            <w:tcBorders/>
            <w:vAlign w:val="bottom"/>
          </w:tcPr>
          <w:p>
            <w:pPr>
              <w:pStyle w:val="TableContents"/>
              <w:bidi w:val="0"/>
              <w:spacing w:before="0" w:after="283"/>
              <w:jc w:val="left"/>
              <w:rPr/>
            </w:pPr>
            <w:r>
              <w:rPr/>
              <w:t>  </w:t>
            </w:r>
          </w:p>
        </w:tc>
        <w:tc>
          <w:tcPr>
            <w:tcW w:w="1082" w:type="dxa"/>
            <w:tcBorders/>
          </w:tcPr>
          <w:p>
            <w:pPr>
              <w:pStyle w:val="TableContents"/>
              <w:bidi w:val="0"/>
              <w:spacing w:before="0" w:after="283"/>
              <w:jc w:val="right"/>
              <w:rPr/>
            </w:pPr>
            <w:r>
              <w:rPr/>
              <w:t>10.16</w:t>
            </w:r>
          </w:p>
        </w:tc>
      </w:tr>
      <w:tr>
        <w:trPr/>
        <w:tc>
          <w:tcPr>
            <w:tcW w:w="9001" w:type="dxa"/>
            <w:tcBorders/>
          </w:tcPr>
          <w:p>
            <w:pPr>
              <w:pStyle w:val="TableContents"/>
              <w:bidi w:val="0"/>
              <w:spacing w:before="0" w:after="283"/>
              <w:jc w:val="left"/>
              <w:rPr>
                <w:i/>
              </w:rPr>
            </w:pPr>
            <w:r>
              <w:rPr>
                <w:i/>
              </w:rPr>
              <w:t>Service Agent</w:t>
            </w:r>
          </w:p>
        </w:tc>
        <w:tc>
          <w:tcPr>
            <w:tcW w:w="122" w:type="dxa"/>
            <w:tcBorders/>
            <w:vAlign w:val="bottom"/>
          </w:tcPr>
          <w:p>
            <w:pPr>
              <w:pStyle w:val="TableContents"/>
              <w:bidi w:val="0"/>
              <w:spacing w:before="0" w:after="283"/>
              <w:jc w:val="left"/>
              <w:rPr/>
            </w:pPr>
            <w:r>
              <w:rPr/>
              <w:t>  </w:t>
            </w:r>
          </w:p>
        </w:tc>
        <w:tc>
          <w:tcPr>
            <w:tcW w:w="1082" w:type="dxa"/>
            <w:tcBorders/>
          </w:tcPr>
          <w:p>
            <w:pPr>
              <w:pStyle w:val="TableContents"/>
              <w:bidi w:val="0"/>
              <w:spacing w:before="0" w:after="283"/>
              <w:jc w:val="right"/>
              <w:rPr/>
            </w:pPr>
            <w:r>
              <w:rPr/>
              <w:t>2.04</w:t>
            </w:r>
          </w:p>
        </w:tc>
      </w:tr>
      <w:tr>
        <w:trPr/>
        <w:tc>
          <w:tcPr>
            <w:tcW w:w="9001" w:type="dxa"/>
            <w:tcBorders/>
          </w:tcPr>
          <w:p>
            <w:pPr>
              <w:pStyle w:val="TableContents"/>
              <w:bidi w:val="0"/>
              <w:spacing w:before="0" w:after="283"/>
              <w:jc w:val="left"/>
              <w:rPr>
                <w:i/>
              </w:rPr>
            </w:pPr>
            <w:r>
              <w:rPr>
                <w:i/>
              </w:rPr>
              <w:t>Successor Person</w:t>
            </w:r>
          </w:p>
        </w:tc>
        <w:tc>
          <w:tcPr>
            <w:tcW w:w="122" w:type="dxa"/>
            <w:tcBorders/>
            <w:vAlign w:val="bottom"/>
          </w:tcPr>
          <w:p>
            <w:pPr>
              <w:pStyle w:val="TableContents"/>
              <w:bidi w:val="0"/>
              <w:spacing w:before="0" w:after="283"/>
              <w:jc w:val="left"/>
              <w:rPr/>
            </w:pPr>
            <w:r>
              <w:rPr/>
              <w:t>  </w:t>
            </w:r>
          </w:p>
        </w:tc>
        <w:tc>
          <w:tcPr>
            <w:tcW w:w="1082" w:type="dxa"/>
            <w:tcBorders/>
          </w:tcPr>
          <w:p>
            <w:pPr>
              <w:pStyle w:val="TableContents"/>
              <w:bidi w:val="0"/>
              <w:spacing w:before="0" w:after="283"/>
              <w:jc w:val="right"/>
              <w:rPr/>
            </w:pPr>
            <w:r>
              <w:rPr/>
              <w:t>5.01</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Section 1.03 Incorporation by Reference of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Whenever this Indenture refers to a provision of the TIA, the provision is incorporated by reference in, and made a part of, this Indenture. The following TIA terms used in this Indenture have the following meanings: </w:t>
      </w:r>
    </w:p>
    <w:p>
      <w:pPr>
        <w:pStyle w:val="TextBody"/>
        <w:bidi w:val="0"/>
        <w:spacing w:before="120" w:after="0"/>
        <w:jc w:val="left"/>
        <w:rPr>
          <w:rFonts w:ascii="Times New Roman" w:hAnsi="Times New Roman"/>
          <w:sz w:val="20"/>
        </w:rPr>
      </w:pPr>
      <w:r>
        <w:rPr>
          <w:rFonts w:ascii="Times New Roman" w:hAnsi="Times New Roman"/>
          <w:i/>
          <w:sz w:val="20"/>
        </w:rPr>
        <w:t>Commission</w:t>
      </w:r>
      <w:r>
        <w:rPr>
          <w:rFonts w:ascii="Times New Roman" w:hAnsi="Times New Roman"/>
          <w:sz w:val="20"/>
        </w:rPr>
        <w:t xml:space="preserve"> means the SEC. </w:t>
      </w:r>
    </w:p>
    <w:p>
      <w:pPr>
        <w:pStyle w:val="TextBody"/>
        <w:bidi w:val="0"/>
        <w:spacing w:before="120" w:after="0"/>
        <w:jc w:val="left"/>
        <w:rPr>
          <w:rFonts w:ascii="Times New Roman" w:hAnsi="Times New Roman"/>
          <w:sz w:val="20"/>
        </w:rPr>
      </w:pPr>
      <w:r>
        <w:rPr>
          <w:rFonts w:ascii="Times New Roman" w:hAnsi="Times New Roman"/>
          <w:i/>
          <w:sz w:val="20"/>
        </w:rPr>
        <w:t>indenture securities</w:t>
      </w:r>
      <w:r>
        <w:rPr>
          <w:rFonts w:ascii="Times New Roman" w:hAnsi="Times New Roman"/>
          <w:sz w:val="20"/>
        </w:rPr>
        <w:t xml:space="preserve"> means the Securities. </w:t>
      </w:r>
    </w:p>
    <w:p>
      <w:pPr>
        <w:pStyle w:val="TextBody"/>
        <w:bidi w:val="0"/>
        <w:spacing w:before="120" w:after="0"/>
        <w:jc w:val="left"/>
        <w:rPr>
          <w:rFonts w:ascii="Times New Roman" w:hAnsi="Times New Roman"/>
          <w:sz w:val="20"/>
        </w:rPr>
      </w:pPr>
      <w:r>
        <w:rPr>
          <w:rFonts w:ascii="Times New Roman" w:hAnsi="Times New Roman"/>
          <w:i/>
          <w:sz w:val="20"/>
        </w:rPr>
        <w:t>indenture trustee</w:t>
      </w:r>
      <w:r>
        <w:rPr>
          <w:rFonts w:ascii="Times New Roman" w:hAnsi="Times New Roman"/>
          <w:sz w:val="20"/>
        </w:rPr>
        <w:t xml:space="preserve"> or </w:t>
      </w:r>
      <w:r>
        <w:rPr>
          <w:rFonts w:ascii="Times New Roman" w:hAnsi="Times New Roman"/>
          <w:i/>
          <w:sz w:val="20"/>
        </w:rPr>
        <w:t>institutional trustee</w:t>
      </w:r>
      <w:r>
        <w:rPr>
          <w:rFonts w:ascii="Times New Roman" w:hAnsi="Times New Roman"/>
          <w:sz w:val="20"/>
        </w:rPr>
        <w:t xml:space="preserve"> means the Trustee. </w:t>
      </w:r>
    </w:p>
    <w:p>
      <w:pPr>
        <w:pStyle w:val="TextBody"/>
        <w:bidi w:val="0"/>
        <w:spacing w:before="120" w:after="0"/>
        <w:jc w:val="left"/>
        <w:rPr>
          <w:rFonts w:ascii="Times New Roman" w:hAnsi="Times New Roman"/>
          <w:sz w:val="20"/>
        </w:rPr>
      </w:pPr>
      <w:r>
        <w:rPr>
          <w:rFonts w:ascii="Times New Roman" w:hAnsi="Times New Roman"/>
          <w:i/>
          <w:sz w:val="20"/>
        </w:rPr>
        <w:t>obligor</w:t>
      </w:r>
      <w:r>
        <w:rPr>
          <w:rFonts w:ascii="Times New Roman" w:hAnsi="Times New Roman"/>
          <w:sz w:val="20"/>
        </w:rPr>
        <w:t xml:space="preserve"> on the indenture securities means the Company and any successor obligor upon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used in this Indenture that are defined by the TIA, defined by TIA reference to another statute or defined by SEC rule under the TIA and not otherwise defined herein are used herein as so defined.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1.04 Rules of Construction. </w:t>
      </w:r>
    </w:p>
    <w:p>
      <w:pPr>
        <w:pStyle w:val="TextBody"/>
        <w:bidi w:val="0"/>
        <w:spacing w:before="12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(a) a term has the meaning assigned to it; </w:t>
      </w:r>
    </w:p>
    <w:p>
      <w:pPr>
        <w:pStyle w:val="TextBody"/>
        <w:bidi w:val="0"/>
        <w:spacing w:before="120" w:after="0"/>
        <w:jc w:val="left"/>
        <w:rPr>
          <w:rFonts w:ascii="Times New Roman" w:hAnsi="Times New Roman"/>
          <w:sz w:val="20"/>
        </w:rPr>
      </w:pPr>
      <w:r>
        <w:rPr>
          <w:rFonts w:ascii="Times New Roman" w:hAnsi="Times New Roman"/>
          <w:sz w:val="20"/>
        </w:rPr>
        <w:t xml:space="preserve">(b) an accounting term not otherwise defined has the meaning assigned to it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(c) references to generally accepted accounting principles and GAAP shall mean United States generally accepted accounting principles in effect as of the time when and for the period as to which such accounting principles are to be applied; </w:t>
      </w:r>
    </w:p>
    <w:p>
      <w:pPr>
        <w:pStyle w:val="TextBody"/>
        <w:bidi w:val="0"/>
        <w:spacing w:before="120" w:after="0"/>
        <w:jc w:val="left"/>
        <w:rPr>
          <w:rFonts w:ascii="Times New Roman" w:hAnsi="Times New Roman"/>
          <w:sz w:val="20"/>
        </w:rPr>
      </w:pPr>
      <w:r>
        <w:rPr>
          <w:rFonts w:ascii="Times New Roman" w:hAnsi="Times New Roman"/>
          <w:sz w:val="20"/>
        </w:rPr>
        <w:t xml:space="preserve">(d) or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(e) words in the singular include the plural, and in the plural include the singular; and </w:t>
      </w:r>
    </w:p>
    <w:p>
      <w:pPr>
        <w:pStyle w:val="TextBody"/>
        <w:bidi w:val="0"/>
        <w:spacing w:before="120" w:after="0"/>
        <w:jc w:val="left"/>
        <w:rPr>
          <w:rFonts w:ascii="Times New Roman" w:hAnsi="Times New Roman"/>
          <w:sz w:val="20"/>
        </w:rPr>
      </w:pPr>
      <w:r>
        <w:rPr>
          <w:rFonts w:ascii="Times New Roman" w:hAnsi="Times New Roman"/>
          <w:sz w:val="20"/>
        </w:rPr>
        <w:t xml:space="preserve">(f) provisions apply to successive events and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2.01 Issuable in Series.</w:t>
      </w:r>
      <w:r>
        <w:rPr>
          <w:rFonts w:ascii="Times New Roman" w:hAnsi="Times New Roman"/>
          <w:sz w:val="20"/>
        </w:rPr>
        <w:t xml:space="preserve"> 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 All Securities issued under this Indenture shall be subject to any and all existing debt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2.02 Establishment of Terms of Series of Securities.</w:t>
      </w:r>
      <w:r>
        <w:rPr>
          <w:rFonts w:ascii="Times New Roman" w:hAnsi="Times New Roman"/>
          <w:sz w:val="20"/>
        </w:rPr>
        <w:t xml:space="preserve"> At or prior to the issuance of any Securities within a Series, the following shall be established (as to the Series generally, in the case of Subsection 2.02(a) and either as to such Securities within the Series or as to the Series generally in the case of Subsections 2.02(b) through 2.02(s) by or pursuant to a Board Resolution, and set forth or determined in the manner provided in a Board Resolution, supplemental indenture or an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(a) the form and title of the Series (which shall distinguish the Securities of that particular Series from the Securities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(b) the price or prices (expressed as a percentage of the principal amount thereof) at which the Securities of the Series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(c)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2.07, 2.08, 2.11, 3.06 or 9.06); </w:t>
      </w:r>
    </w:p>
    <w:p>
      <w:pPr>
        <w:pStyle w:val="TextBody"/>
        <w:bidi w:val="0"/>
        <w:spacing w:before="240" w:after="0"/>
        <w:jc w:val="left"/>
        <w:rPr>
          <w:rFonts w:ascii="Times New Roman" w:hAnsi="Times New Roman"/>
          <w:sz w:val="20"/>
        </w:rPr>
      </w:pPr>
      <w:r>
        <w:rPr>
          <w:rFonts w:ascii="Times New Roman" w:hAnsi="Times New Roman"/>
          <w:sz w:val="20"/>
        </w:rPr>
        <w:t xml:space="preserve">(d) the date or dates on which the principal of the Securities of the Series is payable; </w:t>
      </w:r>
    </w:p>
    <w:p>
      <w:pPr>
        <w:pStyle w:val="TextBody"/>
        <w:bidi w:val="0"/>
        <w:spacing w:before="240" w:after="0"/>
        <w:jc w:val="left"/>
        <w:rPr>
          <w:rFonts w:ascii="Times New Roman" w:hAnsi="Times New Roman"/>
          <w:sz w:val="20"/>
        </w:rPr>
      </w:pPr>
      <w:r>
        <w:rPr>
          <w:rFonts w:ascii="Times New Roman" w:hAnsi="Times New Roman"/>
          <w:sz w:val="20"/>
        </w:rPr>
        <w:t xml:space="preserve">(e)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(f)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 </w:t>
      </w:r>
    </w:p>
    <w:p>
      <w:pPr>
        <w:pStyle w:val="TextBody"/>
        <w:bidi w:val="0"/>
        <w:spacing w:before="240" w:after="0"/>
        <w:jc w:val="left"/>
        <w:rPr>
          <w:rFonts w:ascii="Times New Roman" w:hAnsi="Times New Roman"/>
          <w:sz w:val="20"/>
        </w:rPr>
      </w:pPr>
      <w:r>
        <w:rPr>
          <w:rFonts w:ascii="Times New Roman" w:hAnsi="Times New Roman"/>
          <w:sz w:val="20"/>
        </w:rPr>
        <w:t xml:space="preserve">(g) if applicable, the period or periods within which, the price or prices at which and the terms and conditions upon which the Securities of the Series may be redeemed, in whole or in part, at the option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(h)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 </w:t>
      </w:r>
    </w:p>
    <w:p>
      <w:pPr>
        <w:pStyle w:val="TextBody"/>
        <w:bidi w:val="0"/>
        <w:spacing w:before="240" w:after="0"/>
        <w:jc w:val="left"/>
        <w:rPr>
          <w:rFonts w:ascii="Times New Roman" w:hAnsi="Times New Roman"/>
          <w:sz w:val="20"/>
        </w:rPr>
      </w:pPr>
      <w:r>
        <w:rPr>
          <w:rFonts w:ascii="Times New Roman" w:hAnsi="Times New Roman"/>
          <w:sz w:val="20"/>
        </w:rPr>
        <w:t xml:space="preserve">(i) the dates, if any, on which and the price or prices at which the Securities of the Series will be repurchased by the Company at the option of the Holders thereof and other detailed terms and provisions of such repurchase obligations; </w:t>
      </w:r>
    </w:p>
    <w:p>
      <w:pPr>
        <w:pStyle w:val="TextBody"/>
        <w:bidi w:val="0"/>
        <w:spacing w:before="240" w:after="0"/>
        <w:jc w:val="left"/>
        <w:rPr>
          <w:rFonts w:ascii="Times New Roman" w:hAnsi="Times New Roman"/>
          <w:sz w:val="20"/>
        </w:rPr>
      </w:pPr>
      <w:r>
        <w:rPr>
          <w:rFonts w:ascii="Times New Roman" w:hAnsi="Times New Roman"/>
          <w:sz w:val="20"/>
        </w:rPr>
        <w:t xml:space="preserve">(j) if other than denominations of $1,000 and any integral multiple thereof, the denominations in which the Securities of the Series shall be issuable; </w:t>
      </w:r>
    </w:p>
    <w:p>
      <w:pPr>
        <w:pStyle w:val="TextBody"/>
        <w:bidi w:val="0"/>
        <w:spacing w:before="240" w:after="0"/>
        <w:jc w:val="left"/>
        <w:rPr>
          <w:rFonts w:ascii="Times New Roman" w:hAnsi="Times New Roman"/>
          <w:sz w:val="20"/>
        </w:rPr>
      </w:pPr>
      <w:r>
        <w:rPr>
          <w:rFonts w:ascii="Times New Roman" w:hAnsi="Times New Roman"/>
          <w:sz w:val="20"/>
        </w:rPr>
        <w:t xml:space="preserve">(k) if other than the principal amount thereof, the portion of the principal amount of the Securities of the Series that shall be payable upon declaration of acceleration of the maturity thereof pursuant to Section 6.02; </w:t>
      </w:r>
    </w:p>
    <w:p>
      <w:pPr>
        <w:pStyle w:val="TextBody"/>
        <w:bidi w:val="0"/>
        <w:spacing w:before="240" w:after="0"/>
        <w:jc w:val="left"/>
        <w:rPr>
          <w:rFonts w:ascii="Times New Roman" w:hAnsi="Times New Roman"/>
          <w:sz w:val="20"/>
        </w:rPr>
      </w:pPr>
      <w:r>
        <w:rPr>
          <w:rFonts w:ascii="Times New Roman" w:hAnsi="Times New Roman"/>
          <w:sz w:val="20"/>
        </w:rPr>
        <w:t xml:space="preserve">(l) the currency of denomination of the Securities of the Series, which may be Dollars or any Foreign Currency, and the agency or organization, if any, responsible for overseeing such composite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the provisions, if any, relating to any security provided for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(n) any addition to or change in the Events of Default which applies to any Securities of the Series and any change in the right of the Trustee or the requisite Holders of such Securities to declare the principal amount thereof due and payable pursuant to Section 6.02; </w:t>
      </w:r>
    </w:p>
    <w:p>
      <w:pPr>
        <w:pStyle w:val="TextBody"/>
        <w:bidi w:val="0"/>
        <w:spacing w:before="240" w:after="0"/>
        <w:jc w:val="left"/>
        <w:rPr>
          <w:rFonts w:ascii="Times New Roman" w:hAnsi="Times New Roman"/>
          <w:sz w:val="20"/>
        </w:rPr>
      </w:pPr>
      <w:r>
        <w:rPr>
          <w:rFonts w:ascii="Times New Roman" w:hAnsi="Times New Roman"/>
          <w:sz w:val="20"/>
        </w:rPr>
        <w:t xml:space="preserve">(o) any addition to or change in the covenants set forth in Articles IV or V which apply to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(p) the provisions, if any, relating to conversion of any Securities of such Series, including, if applicable, the securities into which the Securities are convertible, the conversion price, the conversion period, provisions as to whether conversion will be mandatory, at the option of the Holders or at the option of the Company, the events requiring an adjustment of the conversion price and provisions affecting conversion if such Series of Securities are redeemed; </w:t>
      </w:r>
    </w:p>
    <w:p>
      <w:pPr>
        <w:pStyle w:val="TextBody"/>
        <w:bidi w:val="0"/>
        <w:spacing w:before="240" w:after="0"/>
        <w:jc w:val="left"/>
        <w:rPr>
          <w:rFonts w:ascii="Times New Roman" w:hAnsi="Times New Roman"/>
          <w:sz w:val="20"/>
        </w:rPr>
      </w:pPr>
      <w:r>
        <w:rPr>
          <w:rFonts w:ascii="Times New Roman" w:hAnsi="Times New Roman"/>
          <w:sz w:val="20"/>
        </w:rPr>
        <w:t xml:space="preserve">(q) whether the Securities of such Series will be senior debt securities or subordinated debt securities and, if applicable, a description of the subordination terms thereof; </w:t>
      </w:r>
    </w:p>
    <w:p>
      <w:pPr>
        <w:pStyle w:val="TextBody"/>
        <w:bidi w:val="0"/>
        <w:spacing w:before="240" w:after="0"/>
        <w:jc w:val="left"/>
        <w:rPr>
          <w:rFonts w:ascii="Times New Roman" w:hAnsi="Times New Roman"/>
          <w:sz w:val="20"/>
        </w:rPr>
      </w:pPr>
      <w:r>
        <w:rPr>
          <w:rFonts w:ascii="Times New Roman" w:hAnsi="Times New Roman"/>
          <w:sz w:val="20"/>
        </w:rPr>
        <w:t xml:space="preserve">(r) any depositaries, interest rate calculation agents, exchange rate calculation agents or other agents with respect to Securities of such Series if other than those appointed herein; and </w:t>
      </w:r>
    </w:p>
    <w:p>
      <w:pPr>
        <w:pStyle w:val="TextBody"/>
        <w:bidi w:val="0"/>
        <w:spacing w:before="240" w:after="0"/>
        <w:jc w:val="left"/>
        <w:rPr>
          <w:rFonts w:ascii="Times New Roman" w:hAnsi="Times New Roman"/>
          <w:sz w:val="20"/>
        </w:rPr>
      </w:pPr>
      <w:r>
        <w:rPr>
          <w:rFonts w:ascii="Times New Roman" w:hAnsi="Times New Roman"/>
          <w:sz w:val="20"/>
        </w:rPr>
        <w:t xml:space="preserve">(s) any other terms of the Securities of the Series (which may modify or delete any provision of this Indenture insofar as it applies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need not be issued at the same time and may be issued from time to time, consistent with the terms of this Indenture, if so provided by, or pursuant to, the Board Resolution, supplemental indenture hereto or Officers Certificate referred to above, and, unless otherwise provided in such Board Resolution, a Series may be reopened, without the consent of the Holders, for increases in the aggregate principal amount of such Series and issuances of additional Securities of such Series.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2.03 Execution and Authentication.</w:t>
      </w:r>
      <w:r>
        <w:rPr>
          <w:rFonts w:ascii="Times New Roman" w:hAnsi="Times New Roman"/>
          <w:sz w:val="20"/>
        </w:rPr>
        <w:t xml:space="preserve"> Two Officers shall sign the Securities for the Company by manual, electronic or facsimile signature. If an Officer whose signature is on a Security no longer holds that office at the time the Security is authenticated, the Security shall nevertheless be valid. A Security shall not be valid until authenticated by the manual signature of the Trustee or an authenticating agent. The signature shall be conclusive evidence that the Security has been authenticated under this Indenture. 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 unless otherwise provided by a Board Resolution, a supplemental indenture hereto or an Officers Certificate. The aggregate principal amount of Securities of any Series outstanding at any time may not exceed any limit upon the maximum principal amount for such Series set forth in the Board Resolution, supplemental indenture hereto or Officers Certificate delivered pursuant to Section 2.02, except as provided in Section 2.02 or 2.08. Prior to the issuance of Securities of any Series, the Trustee shall have received and (subject to Section 7.02)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10.04 and (c) an Opinion of Counsel complying with Section 10.04. The Trustee shall have the right to decline to authenticate and deliver any Securities of such Series: (a) if the Trustee, being advised by counsel, determines that such action may not be taken lawfully; or (b) if the Trustees board of directors or trustees, executive committee or a trust committee of directors and/or vice-presidents shall determine in good faith that such action would expose the Trustee to personal liability to Holders of any then outstanding Series of Securities. 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2.04 Registrar and Paying Agent.</w:t>
      </w:r>
      <w:r>
        <w:rPr>
          <w:rFonts w:ascii="Times New Roman" w:hAnsi="Times New Roman"/>
          <w:sz w:val="20"/>
        </w:rPr>
        <w:t xml:space="preserve"> The Company shall maintain, with respect to each Series of Securities, at the place or places specified with respect to such Series pursuant to Section 2.02, an office or agency where Securities of such Series may be presented or surrendered for payment (Paying Agent), where Securities of such Series may be surrendered for registration of transfer or exchange (Registrar) and where notices and demands to or upon the Company in respect of the Securities of such Series and this Indenture may be served (Service Agent). The Registrar shall keep a register with respect to each Series of Securities and to their transfer and exchange. The Company will give prompt written notice to the Trustee of the name and address, and any change in the name or address, of each Registrar, Paying Agent or Service Agent. If at any time the Company shall fail to maintain any such required Registrar, Paying Agent or Service Agent or shall fail to furnish the Trustee with the name and address thereof, such presentations, surrenders, notices and demands may be made or served at the Corporate Trust Office of the Trustee, and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hereby appoints the Trustee as its agent to receive all such presentations, surrenders, notices and demands. The Company may also from time to time designate one or more co-registrars, additional paying agents or additional service agents and may from time to time rescind such designations; provided, however, that no such designation or rescission shall in any manner relieve the Company of its obligations to maintain a Registrar, Paying Agent and Service Agent in each place so specified pursuant to this Section 2.04 for Securities of any Series for such purposes. The Company will give prompt written notice to the Trustee of any such designation or rescission and of any change in the name or address of any such co-registrar, additional paying agent or additional service agent. The term Registrar includes any co-registrar; the term Paying Agent includes any additional paying agent; and the term Service Agent includes any additional service agent. The Company hereby appoints the Trustee the initial Registrar, Paying Agent and Service Agent for each Series unless another Registrar, Paying Agent or Service Agent, as the case may be, is appointed prior to the time Securities of that Series are first issued.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2.05 Paying Agent to Hold Money in Trust.</w:t>
      </w:r>
      <w:r>
        <w:rPr>
          <w:rFonts w:ascii="Times New Roman" w:hAnsi="Times New Roman"/>
          <w:sz w:val="20"/>
        </w:rPr>
        <w:t xml:space="preserve"> The Company shall require each Paying Agent other than the Trustee to agree in writing that the Paying Agent will hold in trust, for the benefit of Holders of any Series of Securities, or the Trustee, all money held by the Paying Agent for the payment of principal of or interest, if any,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2.06 Holder Lists.</w:t>
      </w:r>
      <w:r>
        <w:rPr>
          <w:rFonts w:ascii="Times New Roman" w:hAnsi="Times New Roman"/>
          <w:sz w:val="20"/>
        </w:rPr>
        <w:t xml:space="preserve"> The Trustee shall preserve in as current a form as is reasonably practicable the most recent list available to it of the names and addresses of Holders of each Series of Securities and shall otherwise comply with TIA Section 312(a). If the Trustee is not the Registrar, the Company shall furnish to the Trustee at least ten (10) days before each interest payment date and at such other times as the Trustee may request in writing a list, in such form and as of such date, if applicable, as the Trustee may reasonably require, of the names and addresses of Holders of each Series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2.07 Transfer and Exchange.</w:t>
      </w:r>
      <w:r>
        <w:rPr>
          <w:rFonts w:ascii="Times New Roman" w:hAnsi="Times New Roman"/>
          <w:sz w:val="20"/>
        </w:rPr>
        <w:t xml:space="preserve"> 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3.06 or 9.06). Neither the Company nor the Registrar shall be required (a) to issue, register the transfer of, or exchange Securities of any Series for the period beginning at the opening of business fifteen (15)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2.08 Mutilated, Destroyed, Lost and Stolen Securities. </w:t>
      </w:r>
    </w:p>
    <w:p>
      <w:pPr>
        <w:pStyle w:val="TextBody"/>
        <w:bidi w:val="0"/>
        <w:spacing w:before="120" w:after="0"/>
        <w:jc w:val="left"/>
        <w:rPr>
          <w:rFonts w:ascii="Times New Roman" w:hAnsi="Times New Roman"/>
          <w:sz w:val="20"/>
        </w:rPr>
      </w:pPr>
      <w:r>
        <w:rPr>
          <w:rFonts w:ascii="Times New Roman" w:hAnsi="Times New Roman"/>
          <w:sz w:val="20"/>
        </w:rPr>
        <w:t xml:space="preserve">(a) If any mutilated Security is surrendered to the Trustee, the Company shall execute, and the Trustee shall authenticate and make available for delivery in exchange therefor, a new Security of the same Series and of like tenor and principal amount and bearing a number not contemporaneously outstanding. If there shall be delivered to the Company and the Trustee (i) evidence to their satisfaction of the destruction, loss or theft of any Security and (ii) such security or indemnity as may be required by them to save each of each of them and any agent of either of them harmless, then, in the absence of notice to the Company or the Trustee that such Security has been acquired by a protected purchaser, the Company shall execute and, upon its request, the Trustee shall authenticate and make available for delivery, in lieu of any such destroyed, lost or stolen Security, a new Security of the same Series and of like tenor and principal amount and bearing a number not contemporaneously outstanding. In case any such mutilated, destroyed, lost or stolen Security has become or is about to become due and payable, the Company in its discretion may, instead of issuing a new Security, pay such Security. </w:t>
      </w:r>
    </w:p>
    <w:p>
      <w:pPr>
        <w:pStyle w:val="TextBody"/>
        <w:bidi w:val="0"/>
        <w:spacing w:before="120" w:after="0"/>
        <w:jc w:val="left"/>
        <w:rPr>
          <w:rFonts w:ascii="Times New Roman" w:hAnsi="Times New Roman"/>
          <w:sz w:val="20"/>
        </w:rPr>
      </w:pPr>
      <w:r>
        <w:rPr>
          <w:rFonts w:ascii="Times New Roman" w:hAnsi="Times New Roman"/>
          <w:sz w:val="20"/>
        </w:rPr>
        <w:t xml:space="preserve">(b) 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The provisions of this Section are exclusive and shall preclude (to the extent lawful) all other rights and remedies with respect to the replacement or payment of mutilated, destroyed, lost or stolen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2.09 Outstanding Securities.</w:t>
      </w:r>
      <w:r>
        <w:rPr>
          <w:rFonts w:ascii="Times New Roman" w:hAnsi="Times New Roman"/>
          <w:sz w:val="20"/>
        </w:rPr>
        <w:t xml:space="preserve"> 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 If a Security is replaced pursuant to Section 2.08, it ceases to be outstanding until the Trustee receives proof satisfactory to it that the replaced Security is held by a protected purchaser. 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if any, on them ceases to accrue. A Security does not cease to be outstanding because the Company or an Affiliate of the Company holds the Security. 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6.02.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 Treasury Securities.</w:t>
      </w:r>
      <w:r>
        <w:rPr>
          <w:rFonts w:ascii="Times New Roman" w:hAnsi="Times New Roman"/>
          <w:sz w:val="20"/>
        </w:rPr>
        <w:t xml:space="preserve"> In determining whether the Holders of the required principal amount of Securities of a Series have concurred in any request, demand, authorization, direction, notice, consent or waiver, Securities of a Series owned by the Company shall be disregarded, except that for the purposes of determining whether the Trustee shall be protected in relying on any such request, demand, authorization, direction, notice, consent or waiver, only Securities of a Series that the Trustee knows are so owned shall be so disregarded.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2.11 Temporary Securities.</w:t>
      </w:r>
      <w:r>
        <w:rPr>
          <w:rFonts w:ascii="Times New Roman" w:hAnsi="Times New Roman"/>
          <w:sz w:val="20"/>
        </w:rPr>
        <w:t xml:space="preserve"> 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2.12 Cancellation.</w:t>
      </w:r>
      <w:r>
        <w:rPr>
          <w:rFonts w:ascii="Times New Roman" w:hAnsi="Times New Roman"/>
          <w:sz w:val="20"/>
        </w:rPr>
        <w:t xml:space="preserve"> 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registration of transfer, exchange, payment, replacement or cancellation in accordance with its customary procedures and deliver such canceled Securities to the Company, unless the Company otherwise directs; provided that the Trustee shall not be required to destroy Securities. The Company may not issue new Securities to replace Securities that it has paid or delivered to the Trustee for cancellation.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2.13 Defaulted Interest.</w:t>
      </w:r>
      <w:r>
        <w:rPr>
          <w:rFonts w:ascii="Times New Roman" w:hAnsi="Times New Roman"/>
          <w:sz w:val="20"/>
        </w:rPr>
        <w:t xml:space="preserve"> If the Company defaults in a payment of interest, if any, on a Series of Securities, it shall pay the defaulted interest, plus, to the extent permitted by applicable law, any interest payable on the defaulted interest, to the persons who are Holders of the Series on a subsequent special record date. The Company shall fix the record date and payment date. At least ten (10) days before the record date, the Company shall mail to the Trustee and to each Holder of the Series a notice that states the record date, the payment date and the amount of interest to be paid. The Company may pay defaulted interest in any other lawful manner.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2.14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Terms of Securities. A Board Resolution, a supplemental indenture hereto or an Officers Certificate shall establish whether the Securities of a Series shall be issued in whole or in part in the form of one or more Global Securities and the Depository for such Global Security or Securities. </w:t>
      </w:r>
    </w:p>
    <w:p>
      <w:pPr>
        <w:pStyle w:val="TextBody"/>
        <w:bidi w:val="0"/>
        <w:spacing w:before="240" w:after="0"/>
        <w:jc w:val="left"/>
        <w:rPr>
          <w:rFonts w:ascii="Times New Roman" w:hAnsi="Times New Roman"/>
          <w:sz w:val="20"/>
        </w:rPr>
      </w:pPr>
      <w:r>
        <w:rPr>
          <w:rFonts w:ascii="Times New Roman" w:hAnsi="Times New Roman"/>
          <w:sz w:val="20"/>
        </w:rPr>
        <w:t xml:space="preserve">(b) Transfer and Exchange. Notwithstanding any provisions to the contrary contained in Section 2.07 of the Indenture and in addition thereto, any Global Security shall be exchangeable pursuant to Section 2.07 of the Indenture for Securities registered in the names of Holders other than the Depository for such Security or its nominee only if (i) such Depository notifies the Company that it is unwilling or unable to continue as Depository for such Global Security or if at any time such Depository ceases to be a clearing agency registered under the Exchange Act, and, in either case, the Company fails to appoint a successor Depository registered as a clearing agency under the Exchange Act within ninety (90) days of such event, (ii) the Company executes and delivers to the Trustee an Officers Certificate to the effect that such Global Security shall be so exchangeable or (iii) an Event of Default with respect to the Securities represented by such Global Security shall have happened and be continuing. Any Global Security that is exchangeable pursuant to the preceding sentence shall be exchangeable for Securities registered in such names as the Depository shall direct in writing in an aggregate principal amount equal to the principal amount of the Global Security with like tenor and terms. </w:t>
      </w:r>
    </w:p>
    <w:p>
      <w:pPr>
        <w:pStyle w:val="TextBody"/>
        <w:bidi w:val="0"/>
        <w:spacing w:before="240" w:after="0"/>
        <w:jc w:val="left"/>
        <w:rPr>
          <w:rFonts w:ascii="Times New Roman" w:hAnsi="Times New Roman"/>
          <w:sz w:val="20"/>
        </w:rPr>
      </w:pPr>
      <w:r>
        <w:rPr>
          <w:rFonts w:ascii="Times New Roman" w:hAnsi="Times New Roman"/>
          <w:sz w:val="20"/>
        </w:rPr>
        <w:t xml:space="preserve">(c) Except as provided in this Section 2.14(c), a Global Security may not be transferred except as a whole by the Depository with respect to such Global Security to a nominee of such Depository, by a nominee of such Depository to such Depository or another nominee of such Depository or by the Depository or any such nominee to a successor Depository or a nominee of such a successor Depository.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Legend. Any Global Security issued hereunder shall bear a legend in substantially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 </w:t>
      </w:r>
    </w:p>
    <w:p>
      <w:pPr>
        <w:pStyle w:val="TextBody"/>
        <w:bidi w:val="0"/>
        <w:spacing w:before="240" w:after="0"/>
        <w:jc w:val="left"/>
        <w:rPr>
          <w:rFonts w:ascii="Times New Roman" w:hAnsi="Times New Roman"/>
          <w:sz w:val="20"/>
        </w:rPr>
      </w:pPr>
      <w:r>
        <w:rPr>
          <w:rFonts w:ascii="Times New Roman" w:hAnsi="Times New Roman"/>
          <w:sz w:val="20"/>
        </w:rPr>
        <w:t xml:space="preserve">(e) Acts of Holders. The Depository, as a Holder, may appoint agents and otherwise authorize participants to give or take any request, demand, authorization, direction, notice, consent, waiver or other action which a Holder is entitled to give or take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(f) Payments. Notwithstanding the other provisions of this Indenture, unless otherwise specified as contemplated by Section 2.02, payment of the principal of and interest, if any, on any Global Security shall be made to the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(g) Consents, Declaration and Directions. Except as provided in Section 2.14(f), the Company, the Trustee and any Agent shall treat a person as the Holder of such principal amount of outstanding Securities of such Series represented by a Global Security as shall be specified in a written statement of the Depository with respect to such Global Security, for purposes of obtaining any consents, declarations, waivers or directions required to be given by the Holders pursuant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(h) The Depository or its nominee, as registered owner of a Global Security, shall be the Holder of such Global Security for all purposes under the Indenture and the Securities, and owners of beneficial interests in a Global Security shall hold such interests pursuant to the Applicable Procedures. Accordingly, any such owners beneficial interest in a Global Security will be shown only on, and the transfer of such interest shall be effected only through, records maintained by the Depositary or its nominee and such owners of beneficial interests in a Global Security will not be considered the owners or holders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2.15 CUSIP Numbers.</w:t>
      </w:r>
      <w:r>
        <w:rPr>
          <w:rFonts w:ascii="Times New Roman" w:hAnsi="Times New Roman"/>
          <w:sz w:val="20"/>
        </w:rPr>
        <w:t xml:space="preserve"> 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in CUSIP numbers of which the Company becomes aware.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3.01 Notice to Trustee.</w:t>
      </w:r>
      <w:r>
        <w:rPr>
          <w:rFonts w:ascii="Times New Roman" w:hAnsi="Times New Roman"/>
          <w:sz w:val="20"/>
        </w:rPr>
        <w:t xml:space="preserve"> 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3.02 Selection of Securities to be Redeemed.</w:t>
      </w:r>
      <w:r>
        <w:rPr>
          <w:rFonts w:ascii="Times New Roman" w:hAnsi="Times New Roman"/>
          <w:sz w:val="20"/>
        </w:rPr>
        <w:t xml:space="preserve"> Unless otherwise indicated for a particular Series by a Board Resolution, a supplemental indenture or an Officers Certificate, if less than all the Securities of a Series are to be redeemed, the Trustee shall select the Securities of the Series to be redeemed in any manner that the Trustee deems fair and appropriate. The Trustee shall make the selection from Securities of the Series outstanding not previously called for redemption. The Trustee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2.02(j), the minimum principal denomination for each Series and integral multiples thereof. Provisions of this Indenture that apply to Securities of a Series called for redemption also apply to portions of Securities of that Series called for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3.03 Notice of Redemption.</w:t>
      </w:r>
      <w:r>
        <w:rPr>
          <w:rFonts w:ascii="Times New Roman" w:hAnsi="Times New Roman"/>
          <w:sz w:val="20"/>
        </w:rPr>
        <w:t xml:space="preserve"> Unless otherwise indicated for a particular Series by Board Resolution, a supplemental indenture hereto or an Officers Certificate, at least thirty (30) days but not more than sixty (60) days before a redemption date, the Company shall mail a notice of redemption by first-class mail to each Holder whose Securities are to be redeemed and, if any Bearer Securities are outstanding, publish on one occasion a notice in an Authorized Newspaper. The notice shall identify the Securities of the Series to be redeemed and shall state: </w:t>
      </w:r>
    </w:p>
    <w:p>
      <w:pPr>
        <w:pStyle w:val="TextBody"/>
        <w:bidi w:val="0"/>
        <w:spacing w:before="120" w:after="0"/>
        <w:jc w:val="left"/>
        <w:rPr>
          <w:rFonts w:ascii="Times New Roman" w:hAnsi="Times New Roman"/>
          <w:sz w:val="20"/>
        </w:rPr>
      </w:pPr>
      <w:r>
        <w:rPr>
          <w:rFonts w:ascii="Times New Roman" w:hAnsi="Times New Roman"/>
          <w:sz w:val="20"/>
        </w:rPr>
        <w:t xml:space="preserve">(i)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(ii)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(iii) the name and address of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(iv) that Securities of the Series called for redemption must be surrendered to the Paying Agent to collect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(v) that interest, if any, on Securities of the Series called for redemption ceases to accrue on and after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(vi) the CUSIP number, if any; and </w:t>
      </w:r>
    </w:p>
    <w:p>
      <w:pPr>
        <w:pStyle w:val="TextBody"/>
        <w:bidi w:val="0"/>
        <w:spacing w:before="120" w:after="0"/>
        <w:jc w:val="left"/>
        <w:rPr>
          <w:rFonts w:ascii="Times New Roman" w:hAnsi="Times New Roman"/>
          <w:sz w:val="20"/>
        </w:rPr>
      </w:pPr>
      <w:r>
        <w:rPr>
          <w:rFonts w:ascii="Times New Roman" w:hAnsi="Times New Roman"/>
          <w:sz w:val="20"/>
        </w:rPr>
        <w:t xml:space="preserve">(vii) any other information as may be required by the terms of the particular Series or the Securities of a Series being redeemed. </w:t>
      </w:r>
    </w:p>
    <w:p>
      <w:pPr>
        <w:pStyle w:val="TextBody"/>
        <w:bidi w:val="0"/>
        <w:spacing w:before="240" w:after="0"/>
        <w:jc w:val="left"/>
        <w:rPr>
          <w:rFonts w:ascii="Times New Roman" w:hAnsi="Times New Roman"/>
          <w:sz w:val="20"/>
        </w:rPr>
      </w:pPr>
      <w:r>
        <w:rPr>
          <w:rFonts w:ascii="Times New Roman" w:hAnsi="Times New Roman"/>
          <w:sz w:val="20"/>
        </w:rPr>
        <w:t xml:space="preserve">At the Companys request, the Trustee shall give the notice of redemption in the Companys name and at its expense.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3.04 Effect of Notice of Redemption.</w:t>
      </w:r>
      <w:r>
        <w:rPr>
          <w:rFonts w:ascii="Times New Roman" w:hAnsi="Times New Roman"/>
          <w:sz w:val="20"/>
        </w:rPr>
        <w:t xml:space="preserve"> Once notice of redemption is mailed or published as provided in Section 3.03, Securities of a Series called for redemption become due and payable on the redemption date and at the redemption price. A notice of redemption may not be conditional. Upon surrender to the Paying Agent, such Securities shall be paid at the redemption price plus accrued interest, if any, to the redemption date; provided that installments of interest whose Stated Maturity is on or prior to the redemption date shall be payable to the Holders of such Securities (or one or more predecessor Securities) registered at the close of business on the relevant record date therefor according to their terms and the terms of this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3.05 Deposit of Redemption Price.</w:t>
      </w:r>
      <w:r>
        <w:rPr>
          <w:rFonts w:ascii="Times New Roman" w:hAnsi="Times New Roman"/>
          <w:sz w:val="20"/>
        </w:rPr>
        <w:t xml:space="preserve"> On or before 10:00 a.m., New York City time, on the redemption date, the Company shall deposit with the Paying Agent money sufficient to pay the redemption price of and accrued interest, if any, on all Securities to be redeemed on that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3.06 Securities Redeemed in Part.</w:t>
      </w:r>
      <w:r>
        <w:rPr>
          <w:rFonts w:ascii="Times New Roman" w:hAnsi="Times New Roman"/>
          <w:sz w:val="20"/>
        </w:rPr>
        <w:t xml:space="preserve"> Upon surrender of a Security that is redeemed in part, the Trustee shall authenticate for the Holder a new Security of the same Series and the same maturity equal in principal amount to the unredeemed portion of the Security surrendered.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4.01 Payment of Principal and Interest.</w:t>
      </w:r>
      <w:r>
        <w:rPr>
          <w:rFonts w:ascii="Times New Roman" w:hAnsi="Times New Roman"/>
          <w:sz w:val="20"/>
        </w:rPr>
        <w:t xml:space="preserve"> The Company covenants and agrees for the benefit of the Holders of each Series of Securities that it will duly and punctually pay the principal of and interest, if any, on the Securities of that Series in accordance with the terms of such Securities and this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4.02 Commission Reports.</w:t>
      </w:r>
      <w:r>
        <w:rPr>
          <w:rFonts w:ascii="Times New Roman" w:hAnsi="Times New Roman"/>
          <w:sz w:val="20"/>
        </w:rPr>
        <w:t xml:space="preserve"> The Company shall, so long as any of the Securities are outstanding, electronically file with the Commission the annual, quarterly and other periodic reports that the Company is required to file with the Commission pursuant to Sections 13 and 15(d) of the Exchange Act. The Company also shall comply with the other provisions of TIA Section 314(a). Delivery of any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an Officers Certificate).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4.03 Compliance Certificate.</w:t>
      </w:r>
      <w:r>
        <w:rPr>
          <w:rFonts w:ascii="Times New Roman" w:hAnsi="Times New Roman"/>
          <w:sz w:val="20"/>
        </w:rPr>
        <w:t xml:space="preserve"> The Company shall, so long as any of the Securities are outstanding, deliver to the Trustee, within 120 days after the end of each fiscal year of the Company, an Officers Certificate stating whether or not to the knowledge of the signers thereof the Company is in default in the performance and observance of any of the terms, provisions and conditions hereof (without regard to any period of grace or requirement of notice provided hereunder), and if a Default or Event of Default shall have occurred, specifying all such Defaults or Events of Default and the nature and status thereof of which they may have knowledge. The Company shall, so long as any of the Securities are outstanding, deliver to the Trustee, within thirty (30) days after becoming aware of any Default or Event of Default, an Officers Certificate specifying such Default or Event of Default and what action the Company is taking or proposes to take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4.04 Stay, Extension and Usury Laws.</w:t>
      </w:r>
      <w:r>
        <w:rPr>
          <w:rFonts w:ascii="Times New Roman" w:hAnsi="Times New Roman"/>
          <w:sz w:val="20"/>
        </w:rPr>
        <w:t xml:space="preserve"> 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SUCCESSORS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5.01 When Company May Merge, Etc.</w:t>
      </w:r>
      <w:r>
        <w:rPr>
          <w:rFonts w:ascii="Times New Roman" w:hAnsi="Times New Roman"/>
          <w:sz w:val="20"/>
        </w:rPr>
        <w:t xml:space="preserve"> The Company shall not consolidate with or merge with or into, or convey, transfer or lease all or substantially all of its properties and assets to, any person (a Successor Person) unless: </w:t>
      </w:r>
    </w:p>
    <w:p>
      <w:pPr>
        <w:pStyle w:val="TextBody"/>
        <w:bidi w:val="0"/>
        <w:spacing w:before="120" w:after="0"/>
        <w:jc w:val="left"/>
        <w:rPr>
          <w:rFonts w:ascii="Times New Roman" w:hAnsi="Times New Roman"/>
          <w:sz w:val="20"/>
        </w:rPr>
      </w:pPr>
      <w:r>
        <w:rPr>
          <w:rFonts w:ascii="Times New Roman" w:hAnsi="Times New Roman"/>
          <w:sz w:val="20"/>
        </w:rPr>
        <w:t xml:space="preserve">(a) the Company is the surviving entity or the Successor Person (if other than the Company) is organized and validly existing under the laws of any U.S. domestic jurisdiction and expressly assumes the Companys obligations on the Securities and under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(b) immediately after giving effect to the transaction,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deliver to the Trustee prior to the consummation of the proposed transaction an Officers Certificate to the foregoing effect and an Opinion of Counsel stating that the proposed transaction and any supplemental indenture comply with this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5.02 Successor Entity Substituted.</w:t>
      </w:r>
      <w:r>
        <w:rPr>
          <w:rFonts w:ascii="Times New Roman" w:hAnsi="Times New Roman"/>
          <w:sz w:val="20"/>
        </w:rPr>
        <w:t xml:space="preserve"> Upon any consolidation or merger, or any sale, lease, conveyance or other disposition of all or substantially all of the assets of the Company in accordance with Section 5.01, the successor entity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b/>
          <w:sz w:val="20"/>
        </w:rPr>
        <w:t>Section 6.01 Events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Event of Default, wherever used herein with respect to Securities of any Series, means any one of the following events, unless in the establishing Board Resolution, supplemental indenture or Officers Certificate, it is provided that such Series shall not have the benefit of said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(a) default in the payment of any interest, if any, on any Security of that Series when it becomes due and payable, and continuance of such default for a period of thirty (30) days (unless the entire amount of such payment is deposited by the Company with the Trustee or with a Paying Agent prior to the expiration of such period of thirty (30) days); or </w:t>
      </w:r>
    </w:p>
    <w:p>
      <w:pPr>
        <w:pStyle w:val="TextBody"/>
        <w:bidi w:val="0"/>
        <w:spacing w:before="120" w:after="0"/>
        <w:jc w:val="left"/>
        <w:rPr>
          <w:rFonts w:ascii="Times New Roman" w:hAnsi="Times New Roman"/>
          <w:sz w:val="20"/>
        </w:rPr>
      </w:pPr>
      <w:r>
        <w:rPr>
          <w:rFonts w:ascii="Times New Roman" w:hAnsi="Times New Roman"/>
          <w:sz w:val="20"/>
        </w:rPr>
        <w:t xml:space="preserve">(b) default in the payment of principal of any Security of that Series at its Maturity; or </w:t>
      </w:r>
    </w:p>
    <w:p>
      <w:pPr>
        <w:pStyle w:val="TextBody"/>
        <w:bidi w:val="0"/>
        <w:spacing w:before="120" w:after="0"/>
        <w:jc w:val="left"/>
        <w:rPr>
          <w:rFonts w:ascii="Times New Roman" w:hAnsi="Times New Roman"/>
          <w:sz w:val="20"/>
        </w:rPr>
      </w:pPr>
      <w:r>
        <w:rPr>
          <w:rFonts w:ascii="Times New Roman" w:hAnsi="Times New Roman"/>
          <w:sz w:val="20"/>
        </w:rPr>
        <w:t xml:space="preserve">(c) default in the performance or breach of any covenant or warranty of the Company in this Indenture (other than a covenant or warranty for which the consequences of nonperformance or breach are addressed elsewhere in this Section 6.01 and other than a covenant or warranty that has been included in this Indenture solely for the benefit of Series of Securities other than that Series), which default continues uncured for a period of ninety (90) days after there has been given, by registered or certified mail, to the Company by the Trustee or to the Company and the Trustee by the Holders of not less than a majority in principal amount of the outstanding Securities of that Series a written notice specifying such default or breach and requiring it to be remedied and stating that such notice is a Notice of Default hereunder; or </w:t>
      </w:r>
    </w:p>
    <w:p>
      <w:pPr>
        <w:pStyle w:val="TextBody"/>
        <w:bidi w:val="0"/>
        <w:spacing w:before="120" w:after="0"/>
        <w:jc w:val="left"/>
        <w:rPr>
          <w:rFonts w:ascii="Times New Roman" w:hAnsi="Times New Roman"/>
          <w:sz w:val="20"/>
        </w:rPr>
      </w:pPr>
      <w:r>
        <w:rPr>
          <w:rFonts w:ascii="Times New Roman" w:hAnsi="Times New Roman"/>
          <w:sz w:val="20"/>
        </w:rPr>
        <w:t xml:space="preserve">(d) the Company pursuant to or within the meaning of any Bankruptcy Law: (i) commences a voluntary case or proceeding; (ii) consents to the entry of an order for relief against it in an involuntary case, (iii) consents to the appointment of a Custodian of it or for all or substantially all of its property, (iv) makes a general assignment for the benefit of its creditors, or (v) makes an admission by writing that it is generally unable to pay its debts as the same become due;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and the order or decree remains unstayed and in effect for ninety (90) days; or </w:t>
      </w:r>
    </w:p>
    <w:p>
      <w:pPr>
        <w:pStyle w:val="TextBody"/>
        <w:bidi w:val="0"/>
        <w:spacing w:before="120" w:after="0"/>
        <w:jc w:val="left"/>
        <w:rPr>
          <w:rFonts w:ascii="Times New Roman" w:hAnsi="Times New Roman"/>
          <w:sz w:val="20"/>
        </w:rPr>
      </w:pPr>
      <w:r>
        <w:rPr>
          <w:rFonts w:ascii="Times New Roman" w:hAnsi="Times New Roman"/>
          <w:sz w:val="20"/>
        </w:rPr>
        <w:t xml:space="preserve">(f) any other Event of Default provided with respect to Securities of that Series, which is specified in a Board Resolution, a supplemental indenture hereto or an Officers Certificate, in accordance with Section 2.02(n). </w:t>
      </w:r>
    </w:p>
    <w:p>
      <w:pPr>
        <w:pStyle w:val="TextBody"/>
        <w:bidi w:val="0"/>
        <w:spacing w:before="240" w:after="0"/>
        <w:jc w:val="left"/>
        <w:rPr>
          <w:rFonts w:ascii="Times New Roman" w:hAnsi="Times New Roman"/>
          <w:sz w:val="20"/>
        </w:rPr>
      </w:pPr>
      <w:r>
        <w:rPr>
          <w:rFonts w:ascii="Times New Roman" w:hAnsi="Times New Roman"/>
          <w:sz w:val="20"/>
        </w:rPr>
        <w:t xml:space="preserve">The term Bankruptcy Law means Title 11 of the U.S. Code or any similar federal or state law for the relief of debtors. The term Custodian means any receiver, trustee, assignee, liquidator or similar official under any Bankruptcy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6.02 Acceleration of Maturity; Rescission and Annulment.</w:t>
      </w:r>
      <w:r>
        <w:rPr>
          <w:rFonts w:ascii="Times New Roman" w:hAnsi="Times New Roman"/>
          <w:sz w:val="20"/>
        </w:rPr>
        <w:t xml:space="preserve"> If an Event of Default with respect to Securities of any Series at the time outstanding occurs and is continuing (other than an Event of Default referred to in Section 6.1(d) or (e)), then in every such case the Trustee or the Holders of not less than a majority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ipso facto become and be immediately due and payable without any declaration or other act on the part of the Trustee or any Holder. 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 No such rescission shall affect any subsequent Default or impair any right consequent thereon. </w:t>
      </w:r>
    </w:p>
    <w:p>
      <w:pPr>
        <w:pStyle w:val="TextBody"/>
        <w:bidi w:val="0"/>
        <w:spacing w:before="360" w:after="0"/>
        <w:jc w:val="left"/>
        <w:rPr>
          <w:rFonts w:ascii="Times New Roman" w:hAnsi="Times New Roman"/>
          <w:sz w:val="20"/>
        </w:rPr>
      </w:pPr>
      <w:r>
        <w:rPr>
          <w:rFonts w:ascii="Times New Roman" w:hAnsi="Times New Roman"/>
          <w:b/>
          <w:sz w:val="20"/>
        </w:rPr>
        <w:t>Section 6.03 Collection of Indebtedness and Suits for Enforcement by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that if: </w:t>
      </w:r>
    </w:p>
    <w:p>
      <w:pPr>
        <w:pStyle w:val="TextBody"/>
        <w:bidi w:val="0"/>
        <w:spacing w:before="120" w:after="0"/>
        <w:jc w:val="left"/>
        <w:rPr>
          <w:rFonts w:ascii="Times New Roman" w:hAnsi="Times New Roman"/>
          <w:sz w:val="20"/>
        </w:rPr>
      </w:pPr>
      <w:r>
        <w:rPr>
          <w:rFonts w:ascii="Times New Roman" w:hAnsi="Times New Roman"/>
          <w:sz w:val="20"/>
        </w:rPr>
        <w:t xml:space="preserve">(a) default is made in the payment of any interest on any Security when such interest becomes due and payable and such default continues for a period of thirty (30) days, or </w:t>
      </w:r>
    </w:p>
    <w:p>
      <w:pPr>
        <w:pStyle w:val="TextBody"/>
        <w:bidi w:val="0"/>
        <w:spacing w:before="120" w:after="0"/>
        <w:jc w:val="left"/>
        <w:rPr>
          <w:rFonts w:ascii="Times New Roman" w:hAnsi="Times New Roman"/>
          <w:sz w:val="20"/>
        </w:rPr>
      </w:pPr>
      <w:r>
        <w:rPr>
          <w:rFonts w:ascii="Times New Roman" w:hAnsi="Times New Roman"/>
          <w:sz w:val="20"/>
        </w:rPr>
        <w:t xml:space="preserve">(b) default is made in the payment of principal of any Security at the Maturity thereof, then the Company will, upon demand of the Trustee, pay to it, for the benefit of the Holders of such Securities, the whole amount then due and payable on such Securities for principal and interest, if any,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6.04 Trustee May File Proofs of Claim.</w:t>
      </w:r>
      <w:r>
        <w:rPr>
          <w:rFonts w:ascii="Times New Roman" w:hAnsi="Times New Roman"/>
          <w:sz w:val="20"/>
        </w:rPr>
        <w:t xml:space="preserve">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if any) shall be entitled and empowered, by intervention in such proceeding or otherwise, (a) to file and prove a claim for the whole amount of principal and interest, if any, owing and unpaid in respect of the Securities and to file such other papers or documents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be necessary or advisable in order to have the claims of the Trustee (including any claim for the reasonable compensation, expenses, disbursements and advances of the Trustee, its agents and counsel) and of the Holders allowed in such judicial proceeding, and (b)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7.07. 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6.05 Trustee May Enforce Claims Without Possession of Securities.</w:t>
      </w:r>
      <w:r>
        <w:rPr>
          <w:rFonts w:ascii="Times New Roman" w:hAnsi="Times New Roman"/>
          <w:sz w:val="20"/>
        </w:rPr>
        <w:t xml:space="preserve">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 </w:t>
      </w:r>
    </w:p>
    <w:p>
      <w:pPr>
        <w:pStyle w:val="TextBody"/>
        <w:bidi w:val="0"/>
        <w:spacing w:before="360" w:after="0"/>
        <w:jc w:val="left"/>
        <w:rPr>
          <w:rFonts w:ascii="Times New Roman" w:hAnsi="Times New Roman"/>
          <w:sz w:val="20"/>
        </w:rPr>
      </w:pPr>
      <w:r>
        <w:rPr>
          <w:rFonts w:ascii="Times New Roman" w:hAnsi="Times New Roman"/>
          <w:b/>
          <w:sz w:val="20"/>
        </w:rPr>
        <w:t>Section 6.06 Application of Money Collected.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money collected by the Trustee pursuant to this Article shall be applied in the following order, at the date or dates fixed by the Trustee and, in case of the distribution of such money on account of principal or interest, if any, upon presentation of the Securities and the notation thereon of the payment if only partially paid and upon surrender thereof if fully paid: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of all amounts due the Trustee under Section 7.07; and </w:t>
      </w:r>
    </w:p>
    <w:p>
      <w:pPr>
        <w:pStyle w:val="TextBody"/>
        <w:bidi w:val="0"/>
        <w:spacing w:before="120" w:after="0"/>
        <w:jc w:val="left"/>
        <w:rPr>
          <w:rFonts w:ascii="Times New Roman" w:hAnsi="Times New Roman"/>
          <w:sz w:val="20"/>
        </w:rPr>
      </w:pPr>
      <w:r>
        <w:rPr>
          <w:rFonts w:ascii="Times New Roman" w:hAnsi="Times New Roman"/>
          <w:sz w:val="20"/>
        </w:rPr>
        <w:t xml:space="preserve">Second: To the payment of the amounts then due and unpaid for principal of and interest, if any, on the Securities in respect of which or for the benefit of which such money has been collected, ratably, without preference or priority of any kind, according to the amounts due and payable on such Securities for principal and interest, if any, respectively; and </w:t>
      </w:r>
    </w:p>
    <w:p>
      <w:pPr>
        <w:pStyle w:val="TextBody"/>
        <w:bidi w:val="0"/>
        <w:spacing w:before="120" w:after="0"/>
        <w:jc w:val="left"/>
        <w:rPr>
          <w:rFonts w:ascii="Times New Roman" w:hAnsi="Times New Roman"/>
          <w:sz w:val="20"/>
        </w:rPr>
      </w:pPr>
      <w:r>
        <w:rPr>
          <w:rFonts w:ascii="Times New Roman" w:hAnsi="Times New Roman"/>
          <w:sz w:val="20"/>
        </w:rPr>
        <w:t xml:space="preserve">Third: To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6.07 Limitation on Suits.</w:t>
      </w:r>
      <w:r>
        <w:rPr>
          <w:rFonts w:ascii="Times New Roman" w:hAnsi="Times New Roman"/>
          <w:sz w:val="20"/>
        </w:rPr>
        <w:t xml:space="preserve"> No Holder of any Security of any Series shall have any right to institute any proceeding, judicial or otherwise, with respect to this Indenture, or for the appointment of a receiver or trustee, or for any other remedy hereunder, unless: </w:t>
      </w:r>
    </w:p>
    <w:p>
      <w:pPr>
        <w:pStyle w:val="TextBody"/>
        <w:bidi w:val="0"/>
        <w:spacing w:before="120" w:after="0"/>
        <w:jc w:val="left"/>
        <w:rPr>
          <w:rFonts w:ascii="Times New Roman" w:hAnsi="Times New Roman"/>
          <w:sz w:val="20"/>
        </w:rPr>
      </w:pPr>
      <w:r>
        <w:rPr>
          <w:rFonts w:ascii="Times New Roman" w:hAnsi="Times New Roman"/>
          <w:sz w:val="20"/>
        </w:rPr>
        <w:t xml:space="preserve">(a) such Holder has previously given written notice to the Trustee of a continuing Event of Default with respect to the Securities of that Series; </w:t>
      </w:r>
    </w:p>
    <w:p>
      <w:pPr>
        <w:pStyle w:val="TextBody"/>
        <w:bidi w:val="0"/>
        <w:spacing w:before="120" w:after="0"/>
        <w:jc w:val="left"/>
        <w:rPr>
          <w:rFonts w:ascii="Times New Roman" w:hAnsi="Times New Roman"/>
          <w:sz w:val="20"/>
        </w:rPr>
      </w:pPr>
      <w:r>
        <w:rPr>
          <w:rFonts w:ascii="Times New Roman" w:hAnsi="Times New Roman"/>
          <w:sz w:val="20"/>
        </w:rPr>
        <w:t xml:space="preserve">(b) the Holders of at least a majority in principal amount of the outstanding Securities of that Series shall have made written request to the Trustee to institute proceedings in respect of such Event of Default in its own name as Trustee hereunder; </w:t>
      </w:r>
    </w:p>
    <w:p>
      <w:pPr>
        <w:pStyle w:val="TextBody"/>
        <w:bidi w:val="0"/>
        <w:spacing w:before="120" w:after="0"/>
        <w:jc w:val="left"/>
        <w:rPr>
          <w:rFonts w:ascii="Times New Roman" w:hAnsi="Times New Roman"/>
          <w:sz w:val="20"/>
        </w:rPr>
      </w:pPr>
      <w:r>
        <w:rPr>
          <w:rFonts w:ascii="Times New Roman" w:hAnsi="Times New Roman"/>
          <w:sz w:val="20"/>
        </w:rPr>
        <w:t xml:space="preserve">(c) such Holder or Holders have offered to the Trustee reasonable indemnity against the costs, expenses and liabilities to be incurred in compliance with such request; </w:t>
      </w:r>
    </w:p>
    <w:p>
      <w:pPr>
        <w:pStyle w:val="TextBody"/>
        <w:bidi w:val="0"/>
        <w:spacing w:before="120" w:after="0"/>
        <w:jc w:val="left"/>
        <w:rPr>
          <w:rFonts w:ascii="Times New Roman" w:hAnsi="Times New Roman"/>
          <w:sz w:val="20"/>
        </w:rPr>
      </w:pPr>
      <w:r>
        <w:rPr>
          <w:rFonts w:ascii="Times New Roman" w:hAnsi="Times New Roman"/>
          <w:sz w:val="20"/>
        </w:rPr>
        <w:t xml:space="preserve">(d) the Trustee for sixty (60) days after its receipt of such notice, request and offer of indemnity has failed to institute any such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(e) no direction inconsistent with such written request has been given to the Trustee during such sixty (60)-day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6.08 Unconditional Right of Holders to Receive Principal and Interest.</w:t>
      </w:r>
      <w:r>
        <w:rPr>
          <w:rFonts w:ascii="Times New Roman" w:hAnsi="Times New Roman"/>
          <w:sz w:val="20"/>
        </w:rPr>
        <w:t xml:space="preserve"> 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6.09 Restoration of Rights and Remedies.</w:t>
      </w:r>
      <w:r>
        <w:rPr>
          <w:rFonts w:ascii="Times New Roman" w:hAnsi="Times New Roman"/>
          <w:sz w:val="20"/>
        </w:rPr>
        <w:t xml:space="preserve">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6.10 Rights and Remedies Cumulative.</w:t>
      </w:r>
      <w:r>
        <w:rPr>
          <w:rFonts w:ascii="Times New Roman" w:hAnsi="Times New Roman"/>
          <w:sz w:val="20"/>
        </w:rPr>
        <w:t xml:space="preserve"> Except as otherwise provided with respect to the replacement or payment of mutilated, destroyed, lost or stolen Securities in Section 2.08, no right or remedy herein conferred upon or reserved to the Trustee or to the Holders is intended to be exclusive of any other right or remedy, and every right and remedy shall, to the extent permitted by applicable law, be cumulative and in addition to every other right and remedy given hereunder or now or hereafter existing at law or in equity or otherwise. The assertion or employment of any right or remedy hereunder, or otherwise, shall not, to the extent permitted by applicable law, prevent the concurrent assertion or employment of any other appropriate right or remedy.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6.11 Delay or Omission Not Waiver.</w:t>
      </w:r>
      <w:r>
        <w:rPr>
          <w:rFonts w:ascii="Times New Roman" w:hAnsi="Times New Roman"/>
          <w:sz w:val="20"/>
        </w:rPr>
        <w:t xml:space="preserve">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6.12 Control by Holders.</w:t>
      </w:r>
      <w:r>
        <w:rPr>
          <w:rFonts w:ascii="Times New Roman" w:hAnsi="Times New Roman"/>
          <w:sz w:val="20"/>
        </w:rPr>
        <w:t xml:space="preserve">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 </w:t>
      </w:r>
    </w:p>
    <w:p>
      <w:pPr>
        <w:pStyle w:val="TextBody"/>
        <w:bidi w:val="0"/>
        <w:spacing w:before="120" w:after="0"/>
        <w:jc w:val="left"/>
        <w:rPr>
          <w:rFonts w:ascii="Times New Roman" w:hAnsi="Times New Roman"/>
          <w:sz w:val="20"/>
        </w:rPr>
      </w:pPr>
      <w:r>
        <w:rPr>
          <w:rFonts w:ascii="Times New Roman" w:hAnsi="Times New Roman"/>
          <w:sz w:val="20"/>
        </w:rPr>
        <w:t xml:space="preserve">(a) such direction shall not be in conflict with any rule of law or with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(b) the Trustee may take any other action deemed proper by the Trustee which is not inconsistent with such direction, and </w:t>
      </w:r>
    </w:p>
    <w:p>
      <w:pPr>
        <w:pStyle w:val="TextBody"/>
        <w:bidi w:val="0"/>
        <w:spacing w:before="120" w:after="0"/>
        <w:jc w:val="left"/>
        <w:rPr>
          <w:rFonts w:ascii="Times New Roman" w:hAnsi="Times New Roman"/>
          <w:sz w:val="20"/>
        </w:rPr>
      </w:pPr>
      <w:r>
        <w:rPr>
          <w:rFonts w:ascii="Times New Roman" w:hAnsi="Times New Roman"/>
          <w:sz w:val="20"/>
        </w:rPr>
        <w:t xml:space="preserve">(c) subject to the provisions of Section 6.02, the Trustee shall have the right to decline to follow any such direction if the Trustee in good faith shall, by a Responsible Officer of the Trustee, determine that the proceeding so directed would involve the Trustee in personal liability.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6.13 Waiver of Past Defaults.</w:t>
      </w:r>
      <w:r>
        <w:rPr>
          <w:rFonts w:ascii="Times New Roman" w:hAnsi="Times New Roman"/>
          <w:sz w:val="20"/>
        </w:rPr>
        <w:t xml:space="preserve"> The Holders of not less than a majority in principal amount of the outstanding Securities of any Series may on behalf of the Holders of all the Securities of such Series waive any past Default hereunder with respect to such Series and its consequences, except a Default (i) in the payment of the principal of or interest, if any, on any Security of such Series (provided, however, that the Holders of a majority in principal amount of the outstanding Securities of any Series may rescind an acceleration and its consequences, including any related payment default that resulted from such acceleration) or (ii) in respect of a covenant or provision hereof which cannot be modified or amended without the consent of the Holder of each outstanding Security of such Series affected. Upon any such waiver, such Default shall cease to exist, and any Event of Default arising therefrom shall be deemed to have been cured, for every purpose of this Indenture;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6.14 Undertaking for Costs.</w:t>
      </w:r>
      <w:r>
        <w:rPr>
          <w:rFonts w:ascii="Times New Roman" w:hAnsi="Times New Roman"/>
          <w:sz w:val="20"/>
        </w:rPr>
        <w:t xml:space="preserve">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TRUSTEE </w:t>
      </w:r>
    </w:p>
    <w:p>
      <w:pPr>
        <w:pStyle w:val="TextBody"/>
        <w:bidi w:val="0"/>
        <w:spacing w:before="240" w:after="0"/>
        <w:jc w:val="left"/>
        <w:rPr>
          <w:rFonts w:ascii="Times New Roman" w:hAnsi="Times New Roman"/>
          <w:sz w:val="20"/>
        </w:rPr>
      </w:pPr>
      <w:r>
        <w:rPr>
          <w:rFonts w:ascii="Times New Roman" w:hAnsi="Times New Roman"/>
          <w:b/>
          <w:sz w:val="20"/>
        </w:rPr>
        <w:t>Section 7.01 Duties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 </w:t>
      </w:r>
    </w:p>
    <w:p>
      <w:pPr>
        <w:pStyle w:val="TextBody"/>
        <w:bidi w:val="0"/>
        <w:spacing w:before="12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(i) The Trustee need perform only those duties that are specifically set forth in this Indenture and no others. </w:t>
      </w:r>
    </w:p>
    <w:p>
      <w:pPr>
        <w:pStyle w:val="TextBody"/>
        <w:bidi w:val="0"/>
        <w:spacing w:before="120" w:after="0"/>
        <w:jc w:val="left"/>
        <w:rPr>
          <w:rFonts w:ascii="Times New Roman" w:hAnsi="Times New Roman"/>
          <w:sz w:val="20"/>
        </w:rPr>
      </w:pPr>
      <w:r>
        <w:rPr>
          <w:rFonts w:ascii="Times New Roman" w:hAnsi="Times New Roman"/>
          <w:sz w:val="20"/>
        </w:rPr>
        <w:t xml:space="preserve">(ii)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not be relieved from liability for its own negligent action, its own negligent failure to act or its own willful misconduct,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paragraph does not limit the effect of paragraph (b) of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shall not be liable for any error of judgment made in good faith by a Responsible Officer, unless it is proved that the Trustee was negligent in ascertaining the pertinent facts,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Every provision of this Indenture that in any way relates to the Trustee is subject to paragraph (a),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(e) The Trustee may refuse to perform any duty or exercise any right or power at the request or direction of any Holder unless it receives indemnity satisfactory to it against any loss, liability or expense. </w:t>
      </w:r>
    </w:p>
    <w:p>
      <w:pPr>
        <w:pStyle w:val="TextBody"/>
        <w:bidi w:val="0"/>
        <w:spacing w:before="120" w:after="0"/>
        <w:jc w:val="left"/>
        <w:rPr>
          <w:rFonts w:ascii="Times New Roman" w:hAnsi="Times New Roman"/>
          <w:sz w:val="20"/>
        </w:rPr>
      </w:pPr>
      <w:r>
        <w:rPr>
          <w:rFonts w:ascii="Times New Roman" w:hAnsi="Times New Roman"/>
          <w:sz w:val="20"/>
        </w:rPr>
        <w:t xml:space="preserve">(f) The Trustee shall not be liable for interest on any money received by it except as the Trustee may agree in writing with the Company. </w:t>
      </w:r>
    </w:p>
    <w:p>
      <w:pPr>
        <w:pStyle w:val="TextBody"/>
        <w:bidi w:val="0"/>
        <w:spacing w:before="120" w:after="0"/>
        <w:jc w:val="left"/>
        <w:rPr>
          <w:rFonts w:ascii="Times New Roman" w:hAnsi="Times New Roman"/>
          <w:sz w:val="20"/>
        </w:rPr>
      </w:pPr>
      <w:r>
        <w:rPr>
          <w:rFonts w:ascii="Times New Roman" w:hAnsi="Times New Roman"/>
          <w:sz w:val="20"/>
        </w:rPr>
        <w:t xml:space="preserve">(g) 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 </w:t>
      </w:r>
    </w:p>
    <w:p>
      <w:pPr>
        <w:pStyle w:val="TextBody"/>
        <w:bidi w:val="0"/>
        <w:spacing w:before="120" w:after="0"/>
        <w:jc w:val="left"/>
        <w:rPr>
          <w:rFonts w:ascii="Times New Roman" w:hAnsi="Times New Roman"/>
          <w:sz w:val="20"/>
        </w:rPr>
      </w:pPr>
      <w:r>
        <w:rPr>
          <w:rFonts w:ascii="Times New Roman" w:hAnsi="Times New Roman"/>
          <w:sz w:val="20"/>
        </w:rPr>
        <w:t xml:space="preserve">(h) The Paying Agent, the Registrar and any Service Agent or authenticating agent shall be entitled to the protections, immunities and standard of care as are set forth in paragraphs (a), (b) and (c) of this Section with respect to the Trustee. </w:t>
      </w:r>
    </w:p>
    <w:p>
      <w:pPr>
        <w:pStyle w:val="TextBody"/>
        <w:bidi w:val="0"/>
        <w:spacing w:before="360" w:after="0"/>
        <w:jc w:val="left"/>
        <w:rPr>
          <w:rFonts w:ascii="Times New Roman" w:hAnsi="Times New Roman"/>
          <w:sz w:val="20"/>
        </w:rPr>
      </w:pPr>
      <w:r>
        <w:rPr>
          <w:rFonts w:ascii="Times New Roman" w:hAnsi="Times New Roman"/>
          <w:b/>
          <w:sz w:val="20"/>
        </w:rPr>
        <w:t>Section 7.02 Rights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rely on and shall be protected in acting or refraining from acting upon any document believed by it to be genuine and to have been signed or presented by the proper person as required by the Indenture. The Trustee need not investigate any fact or matter stated in the document. </w:t>
      </w:r>
    </w:p>
    <w:p>
      <w:pPr>
        <w:pStyle w:val="TextBody"/>
        <w:bidi w:val="0"/>
        <w:spacing w:before="120" w:after="0"/>
        <w:jc w:val="left"/>
        <w:rPr>
          <w:rFonts w:ascii="Times New Roman" w:hAnsi="Times New Roman"/>
          <w:sz w:val="20"/>
        </w:rPr>
      </w:pPr>
      <w:r>
        <w:rPr>
          <w:rFonts w:ascii="Times New Roman" w:hAnsi="Times New Roman"/>
          <w:sz w:val="20"/>
        </w:rPr>
        <w:t xml:space="preserve">(b) Before the Trustee acts or refrains from acting, it may require an Officers Certificate. The Trustee shall not be liable for any action it takes or omits to take in good faith in reliance on such Officers Certificate.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act through agents and shall not be responsible for the misconduct or negligence of any agent appointed with due care. No Depository shall be deemed an agent of the Trustee, and the Trustee shall not be responsible for any act or omission by any Depository. </w:t>
      </w:r>
    </w:p>
    <w:p>
      <w:pPr>
        <w:pStyle w:val="TextBody"/>
        <w:bidi w:val="0"/>
        <w:spacing w:before="120" w:after="0"/>
        <w:jc w:val="left"/>
        <w:rPr>
          <w:rFonts w:ascii="Times New Roman" w:hAnsi="Times New Roman"/>
          <w:sz w:val="20"/>
        </w:rPr>
      </w:pPr>
      <w:r>
        <w:rPr>
          <w:rFonts w:ascii="Times New Roman" w:hAnsi="Times New Roman"/>
          <w:sz w:val="20"/>
        </w:rPr>
        <w:t xml:space="preserve">(d) The Trustee shall not be liable for any action it takes or omits to take in good faith which it believes to be authorized or within its rights or powers, provided that the Trustees conduct does not constitute negligence or bad faith. </w:t>
      </w:r>
    </w:p>
    <w:p>
      <w:pPr>
        <w:pStyle w:val="TextBody"/>
        <w:bidi w:val="0"/>
        <w:spacing w:before="120" w:after="0"/>
        <w:jc w:val="left"/>
        <w:rPr>
          <w:rFonts w:ascii="Times New Roman" w:hAnsi="Times New Roman"/>
          <w:sz w:val="20"/>
        </w:rPr>
      </w:pPr>
      <w:r>
        <w:rPr>
          <w:rFonts w:ascii="Times New Roman" w:hAnsi="Times New Roman"/>
          <w:sz w:val="20"/>
        </w:rPr>
        <w:t xml:space="preserve">(e) The Trustee may consult with counsel, and the advice of such counsel or any Opinion of Counsel shall be full and complete authorization and protection in respect of any action taken, suffered or omitted by it hereunder without negligence and in good faith and in reliance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Trustee shall be under no obligation to exercise any of the rights or powers vested in it by this Indenture at the request or direction of any of the Holders of Securities unless such Holders shall have offered to the Trustee reasonable security or indemnity against the costs, expenses and liabilities which might be incurred by it in compliance with such request or direction. </w:t>
      </w:r>
    </w:p>
    <w:p>
      <w:pPr>
        <w:pStyle w:val="TextBody"/>
        <w:bidi w:val="0"/>
        <w:spacing w:before="120" w:after="0"/>
        <w:jc w:val="left"/>
        <w:rPr>
          <w:rFonts w:ascii="Times New Roman" w:hAnsi="Times New Roman"/>
          <w:sz w:val="20"/>
        </w:rPr>
      </w:pPr>
      <w:r>
        <w:rPr>
          <w:rFonts w:ascii="Times New Roman" w:hAnsi="Times New Roman"/>
          <w:sz w:val="20"/>
        </w:rPr>
        <w:t xml:space="preserve">(g)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w:t>
      </w:r>
    </w:p>
    <w:p>
      <w:pPr>
        <w:pStyle w:val="TextBody"/>
        <w:bidi w:val="0"/>
        <w:spacing w:before="120" w:after="0"/>
        <w:jc w:val="left"/>
        <w:rPr>
          <w:rFonts w:ascii="Times New Roman" w:hAnsi="Times New Roman"/>
          <w:sz w:val="20"/>
        </w:rPr>
      </w:pPr>
      <w:r>
        <w:rPr>
          <w:rFonts w:ascii="Times New Roman" w:hAnsi="Times New Roman"/>
          <w:sz w:val="20"/>
        </w:rPr>
        <w:t xml:space="preserve">(h) 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 The permissive rights of the Trustee enumerated herein shall not be construed as duties.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7.03 Individual Rights of Trustee.</w:t>
      </w:r>
      <w:r>
        <w:rPr>
          <w:rFonts w:ascii="Times New Roman" w:hAnsi="Times New Roman"/>
          <w:sz w:val="20"/>
        </w:rPr>
        <w:t xml:space="preserve"> 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7.04 Trustees Disclaimer.</w:t>
      </w:r>
      <w:r>
        <w:rPr>
          <w:rFonts w:ascii="Times New Roman" w:hAnsi="Times New Roman"/>
          <w:sz w:val="20"/>
        </w:rPr>
        <w:t xml:space="preserve"> 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7.05 Notice of Defaults.</w:t>
      </w:r>
      <w:r>
        <w:rPr>
          <w:rFonts w:ascii="Times New Roman" w:hAnsi="Times New Roman"/>
          <w:sz w:val="20"/>
        </w:rPr>
        <w:t xml:space="preserve"> If a Default or Event of Default occurs and is continuing with respect to the Securities of any Series and if it is known to a Responsible Officer of the Trustee, the Trustee shall mail to each Holder of the Securities of that Series and, if any Bearer Securities are outstanding, publish on one occasion in an Authorized Newspaper, notice of a Default or Event of Default within ninety (90) days after it occurs or, if later, after a Responsible Officer of the Trustee has knowledge of such Default or Event of Default. Except in the case of a Default or Event of Default in payment of principal of or interest, if any, on any Security of any Series, the Trustee may withhold the notice if and so long as its corporate trust committee or a committee of its Responsible Officers in good faith determines that withholding the notice is in the interests of Holders of that Series.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7.06 Reports by Trustee to Holders.</w:t>
      </w:r>
      <w:r>
        <w:rPr>
          <w:rFonts w:ascii="Times New Roman" w:hAnsi="Times New Roman"/>
          <w:sz w:val="20"/>
        </w:rPr>
        <w:t xml:space="preserve"> Within sixty (60) days after May 15 in each year, the Trustee shall transmit by mail to all Holders, as their names and addresses appear on the register kept by the Registrar and, if any Bearer Securities are outstanding, publish in an Authorized Newspaper, a brief report dated as of such May 15, in accordance with, and to the extent required under, TIA Section 313. A copy of each report at the time of its mailing to Holders of any Series shall be filed with the Commission and each stock exchange on which the Securities of that Series are listed. The Company shall promptly notify the Trustee when Securities of any Series are listed on any stock exchange.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7.07 Compensation and Indemnity.</w:t>
      </w:r>
      <w:r>
        <w:rPr>
          <w:rFonts w:ascii="Times New Roman" w:hAnsi="Times New Roman"/>
          <w:sz w:val="20"/>
        </w:rPr>
        <w:t xml:space="preserve"> 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and documented by it. Such expenses shall include the reasonable compensation and expenses of the Trustees agents and counsel. The Company shall indemnify each of the Trustee and any predecessor Trustee against any loss, liability or expense (including the cost of defending itself), including taxes (other than taxes based upon, measured by or determined by the income of the Trustee) incurred by it, except as set forth in this Section 7.07, in the performance of its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 The Company need not reimburse any expense or indemnify against any loss or liability incurred by the Trustee or by any officer, director, employee, shareholder or agent of the Trustee through the negligence or bad faith of any such persons. To secure the Companys payment obligations in this Section, the Trustee shall have a lien prior to the Securities of any Series on all money or property held or collected by the Trustee, except that held in trust to pay principal of and interest, if any, on particular Securities of that Series. When the Trustee incurs expenses or renders services after an Event of Default specified in Section 6.01(d) or (e) occurs, the expenses and the compensation for the services are intended to constitute expenses of administration under any Bankruptcy Law. The provisions of this Section shall survive the resignation or removal of the Trustee and the termination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7.08 Replacement of Trustee.</w:t>
      </w:r>
      <w:r>
        <w:rPr>
          <w:rFonts w:ascii="Times New Roman" w:hAnsi="Times New Roman"/>
          <w:sz w:val="20"/>
        </w:rPr>
        <w:t xml:space="preserve"> A resignation or removal of the Trustee and appointment of a successor Trustee shall become effective only upon the successor Trustees acceptance of appointment as provided in this Section. The Trustee may resign with respect to the Securities of one or more Series by so notifying the Company at least thirty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 </w:t>
      </w:r>
    </w:p>
    <w:p>
      <w:pPr>
        <w:pStyle w:val="TextBody"/>
        <w:bidi w:val="0"/>
        <w:spacing w:before="120" w:after="0"/>
        <w:jc w:val="left"/>
        <w:rPr>
          <w:rFonts w:ascii="Times New Roman" w:hAnsi="Times New Roman"/>
          <w:sz w:val="20"/>
        </w:rPr>
      </w:pPr>
      <w:r>
        <w:rPr>
          <w:rFonts w:ascii="Times New Roman" w:hAnsi="Times New Roman"/>
          <w:sz w:val="20"/>
        </w:rPr>
        <w:t xml:space="preserve">(a) the Trustee fails to comply with Section 7.10; </w:t>
      </w:r>
    </w:p>
    <w:p>
      <w:pPr>
        <w:pStyle w:val="TextBody"/>
        <w:bidi w:val="0"/>
        <w:spacing w:before="120" w:after="0"/>
        <w:jc w:val="left"/>
        <w:rPr>
          <w:rFonts w:ascii="Times New Roman" w:hAnsi="Times New Roman"/>
          <w:sz w:val="20"/>
        </w:rPr>
      </w:pPr>
      <w:r>
        <w:rPr>
          <w:rFonts w:ascii="Times New Roman" w:hAnsi="Times New Roman"/>
          <w:sz w:val="20"/>
        </w:rPr>
        <w:t xml:space="preserve">(b) the Trustee is adjudged bankrupt or insolvent or an order for relief is entered with respect to the Trustee under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(c) a Custodian or public officer takes charge of the Trustee or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(d) the Trustee becomes incapable of acting.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resigns or is removed or if a vacancy exists in the office of Trustee for any reason, the Company shall promptly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If a successor Trustee with respect to the Securities of any one or more Series does not take office within sixty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7.07,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Holder of each such Series and, if any Bearer Securities are outstanding, publish such notice on one occasion in an Authorized Newspaper. Notwithstanding replacement of the Trustee pursuant to this Section 7.08, the Companys obligations under Section 7.07 hereof shall continue for the benefit of the retiring Trustee with respect to expenses and liabilities incurred by it prior to the date of such replacement.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7.09 Successor Trustee by Merger, etc.</w:t>
      </w:r>
      <w:r>
        <w:rPr>
          <w:rFonts w:ascii="Times New Roman" w:hAnsi="Times New Roman"/>
          <w:sz w:val="20"/>
        </w:rPr>
        <w:t xml:space="preserve"> If the Trustee consolidates with, merges or converts into, or transfers all or substantially all of its corporate trust business to, another corporation, the successor corporation without any further act shall be the successor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7.10 Eligibility; Disqualification.</w:t>
      </w:r>
      <w:r>
        <w:rPr>
          <w:rFonts w:ascii="Times New Roman" w:hAnsi="Times New Roman"/>
          <w:sz w:val="20"/>
        </w:rPr>
        <w:t xml:space="preserve"> This Indenture shall always have a Trustee who satisfies the requirements of TIA Section 310(a)(1), (2) and (5). The Trustee shall comply with TIA Section 310(b).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7.11 Preferential Collection of Claims Against Company.</w:t>
      </w:r>
      <w:r>
        <w:rPr>
          <w:rFonts w:ascii="Times New Roman" w:hAnsi="Times New Roman"/>
          <w:sz w:val="20"/>
        </w:rPr>
        <w:t xml:space="preserve"> The Trustee is subject to TIA Section 311(a), excluding any creditor relationship listed in TIA Section 311(b). A Trustee who has resigned or been removed shall be subject to TIA Section 311(a) to the extent indicated.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SATISFACTION AND DISCHARGE; DEFEASANCE </w:t>
      </w:r>
    </w:p>
    <w:p>
      <w:pPr>
        <w:pStyle w:val="TextBody"/>
        <w:bidi w:val="0"/>
        <w:spacing w:before="240" w:after="0"/>
        <w:jc w:val="left"/>
        <w:rPr>
          <w:rFonts w:ascii="Times New Roman" w:hAnsi="Times New Roman"/>
          <w:sz w:val="20"/>
        </w:rPr>
      </w:pPr>
      <w:r>
        <w:rPr>
          <w:rFonts w:ascii="Times New Roman" w:hAnsi="Times New Roman"/>
          <w:b/>
          <w:sz w:val="20"/>
        </w:rPr>
        <w:t>Section 8.01 Satisfaction and Discharge of Indenture.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shall upon Company Order cease to be of further effect (except as hereinafter provided in this Section 8.01), and the Trustee, at the expense of the Company, shall execute proper instruments acknowledging satisfaction and discharge of this Indenture, when </w:t>
      </w:r>
    </w:p>
    <w:p>
      <w:pPr>
        <w:pStyle w:val="TextBody"/>
        <w:bidi w:val="0"/>
        <w:spacing w:before="120" w:after="0"/>
        <w:jc w:val="left"/>
        <w:rPr>
          <w:rFonts w:ascii="Times New Roman" w:hAnsi="Times New Roman"/>
          <w:sz w:val="20"/>
        </w:rPr>
      </w:pPr>
      <w:r>
        <w:rPr>
          <w:rFonts w:ascii="Times New Roman" w:hAnsi="Times New Roman"/>
          <w:sz w:val="20"/>
        </w:rPr>
        <w:t xml:space="preserve">(a) any of the following shall have occurred: (i) no Securities have been issued hereunder; (ii) all Securities theretofore authenticated and delivered (other than Securities that have been destroyed, lost or stolen and that have been replaced or paid) have been delivered to the Trustee for cancellation; or (iii) all such Securities not theretofore delivered to the Trustee for cancellation (1) have become due and payable, or (2) will become due and payable at their Stated Maturity within one (1) year, or (3) are to be called for redemption within one (1) year under arrangements satisfactory to the Trustee for the giving of notice of redemption by the Trustee in the name, and at the expense, of the Company; and the Company has irrevocably deposited or caused to be deposited with the Trustee as trust funds in trust an amount sufficient for the purpose of paying and discharging the entire indebtedness on such Securities not theretofore delivered to the Trustee for cancellation, for principal and interest, if any, to the date of such deposit (in the case of Securities which have become due and payable on or prior to the date of such deposit) or to the Stated Maturity or redemption date,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has paid or caused to be paid all other sums payable hereunder by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(c) the Company has delivered to the Trustee an Officers Certificate and an Opinion of Counsel, each stating that all conditions precedent herein provided for relating to the satisfaction and discharge of this Indenture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the obligations of the Company to the Trustee under Section 7.07 and, if money shall have been deposited with the Trustee pursuant to clause (a) of this Section, the provisions of Sections 2.04, 2.05, 2.07, 2.08, 8.01, 8.02 and 8.05 shall survive. </w:t>
      </w:r>
    </w:p>
    <w:p>
      <w:pPr>
        <w:pStyle w:val="TextBody"/>
        <w:bidi w:val="0"/>
        <w:spacing w:before="240" w:after="0"/>
        <w:jc w:val="left"/>
        <w:rPr>
          <w:rFonts w:ascii="Times New Roman" w:hAnsi="Times New Roman"/>
          <w:sz w:val="20"/>
        </w:rPr>
      </w:pPr>
      <w:r>
        <w:rPr>
          <w:rFonts w:ascii="Times New Roman" w:hAnsi="Times New Roman"/>
          <w:b/>
          <w:sz w:val="20"/>
        </w:rPr>
        <w:t>Section 8.02 Application of Trust Funds;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provisions of Section 8.05, all money deposited with the Trustee pursuant to Section 8.01, all money and U.S. Government Obligations or Foreign Government Obligations deposited with the Trustee pursuant to Section 8.03 or 8.04 and all money received by the Trustee in respect of U.S. Government Obligations or Foreign Government Obligations deposited with the Trustee pursuant to Section 8.03 or 8.04, shall be held in trust and applied by it, in accordance with the provisions of the Securities and this Indenture, to the payment, either directly or through any Paying Agent (other than the Company acting as its own Paying Agent) as the Trustee may determine, to the persons entitled thereto, of the principal and interest, if any, for whose payment such money has been deposited with or received by the Trustee or analogous payments as contemplated by Sections 8.03 or 8.04.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pay and shall indemnify the Trustee against any tax, fee or other charge imposed on or assessed against U.S. Government Obligations or Foreign Government Obligations deposited pursuant to Sections 8.03 or 8.04 or the interest and principal received in respect of such obligations other than any payable by or on behalf of Holders. </w:t>
      </w:r>
    </w:p>
    <w:p>
      <w:pPr>
        <w:pStyle w:val="TextBody"/>
        <w:bidi w:val="0"/>
        <w:spacing w:before="120" w:after="0"/>
        <w:jc w:val="left"/>
        <w:rPr>
          <w:rFonts w:ascii="Times New Roman" w:hAnsi="Times New Roman"/>
          <w:sz w:val="20"/>
        </w:rPr>
      </w:pPr>
      <w:r>
        <w:rPr>
          <w:rFonts w:ascii="Times New Roman" w:hAnsi="Times New Roman"/>
          <w:sz w:val="20"/>
        </w:rPr>
        <w:t xml:space="preserve">(c) The Trustee shall deliver or pay to the Company from time to time upon Company Request any U.S. Government Obligations or Foreign Government Obligations or money held by it as provided in Sections 8.03 or 8.04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8.03 Legal Defeasance of Securities of any Series.</w:t>
      </w:r>
      <w:r>
        <w:rPr>
          <w:rFonts w:ascii="Times New Roman" w:hAnsi="Times New Roman"/>
          <w:sz w:val="20"/>
        </w:rPr>
        <w:t xml:space="preserve"> Unless this Section 8.03 is otherwise specified, pursuant to Section 2.02(s), to be inapplicable to Securities of any Series, the Company shall be deemed to have paid and discharged the entire indebtedness on all the outstanding Securities of any Series on the 91st day after the date of the deposit referred to in subparagraph (i) hereof, and the provisions of this Indenture, as it relates to such outstanding Securities of such Series, shall no longer be in effect (and the Trustee, at the expense of the Company, shall, at Company Request, execute proper instruments acknowledging the same), except as to: </w:t>
      </w:r>
    </w:p>
    <w:p>
      <w:pPr>
        <w:pStyle w:val="TextBody"/>
        <w:bidi w:val="0"/>
        <w:spacing w:before="120" w:after="0"/>
        <w:jc w:val="left"/>
        <w:rPr>
          <w:rFonts w:ascii="Times New Roman" w:hAnsi="Times New Roman"/>
          <w:sz w:val="20"/>
        </w:rPr>
      </w:pPr>
      <w:r>
        <w:rPr>
          <w:rFonts w:ascii="Times New Roman" w:hAnsi="Times New Roman"/>
          <w:sz w:val="20"/>
        </w:rPr>
        <w:t xml:space="preserve">(a) the rights of Holders of Securities of such Series to receive, from the trust funds described in subparagraph (i) hereof, (i) payment of the principal of and each installment of principal of and interest, if any,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 and </w:t>
      </w:r>
    </w:p>
    <w:p>
      <w:pPr>
        <w:pStyle w:val="TextBody"/>
        <w:bidi w:val="0"/>
        <w:spacing w:before="120" w:after="0"/>
        <w:jc w:val="left"/>
        <w:rPr>
          <w:rFonts w:ascii="Times New Roman" w:hAnsi="Times New Roman"/>
          <w:sz w:val="20"/>
        </w:rPr>
      </w:pPr>
      <w:r>
        <w:rPr>
          <w:rFonts w:ascii="Times New Roman" w:hAnsi="Times New Roman"/>
          <w:sz w:val="20"/>
        </w:rPr>
        <w:t xml:space="preserve">(b) the provisions of Sections 2.04, 2.05, 2.07, 2.08, 8.02, 8.03 and 8.05; and </w:t>
      </w:r>
    </w:p>
    <w:p>
      <w:pPr>
        <w:pStyle w:val="TextBody"/>
        <w:bidi w:val="0"/>
        <w:spacing w:before="120" w:after="0"/>
        <w:jc w:val="left"/>
        <w:rPr>
          <w:rFonts w:ascii="Times New Roman" w:hAnsi="Times New Roman"/>
          <w:sz w:val="20"/>
        </w:rPr>
      </w:pPr>
      <w:r>
        <w:rPr>
          <w:rFonts w:ascii="Times New Roman" w:hAnsi="Times New Roman"/>
          <w:sz w:val="20"/>
        </w:rPr>
        <w:t xml:space="preserve">(c) the rights, powers, trust and immunities of the Trustee hereunder; </w:t>
      </w:r>
    </w:p>
    <w:p>
      <w:pPr>
        <w:pStyle w:val="TextBody"/>
        <w:bidi w:val="0"/>
        <w:spacing w:before="120" w:after="0"/>
        <w:jc w:val="left"/>
        <w:rPr>
          <w:rFonts w:ascii="Times New Roman" w:hAnsi="Times New Roman"/>
          <w:sz w:val="20"/>
        </w:rPr>
      </w:pPr>
      <w:r>
        <w:rPr>
          <w:rFonts w:ascii="Times New Roman" w:hAnsi="Times New Roman"/>
          <w:sz w:val="20"/>
        </w:rPr>
        <w:t xml:space="preserve">provided that, the following conditions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(i) with reference to this Section 8.03, the Company shall have deposited or caused to be irrevocably deposited (except as provided in Section 8.02(c)) with the Trustee as trust funds in trust for the purpose of making the following payments, specifically pledged as security for and dedicated solely to the benefit of the Holders of such Securities (A) in the case of Securities of such Series denominated in Dollars, cash in Dollars and/or U.S. Government Obligations, or (B) in the case of Securities of such Series denominated in a Foreign Currency (other than a composite currency), money and/or Foreign Government Obligations, which through the payment of interest and principal in respect thereof in accordance with their terms, will provide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 </w:t>
      </w:r>
    </w:p>
    <w:p>
      <w:pPr>
        <w:pStyle w:val="TextBody"/>
        <w:bidi w:val="0"/>
        <w:spacing w:before="120" w:after="0"/>
        <w:jc w:val="left"/>
        <w:rPr>
          <w:rFonts w:ascii="Times New Roman" w:hAnsi="Times New Roman"/>
          <w:sz w:val="20"/>
        </w:rPr>
      </w:pPr>
      <w:r>
        <w:rPr>
          <w:rFonts w:ascii="Times New Roman" w:hAnsi="Times New Roman"/>
          <w:sz w:val="20"/>
        </w:rPr>
        <w:t xml:space="preserve">(ii) such deposit will not result in a breach or violation of, or constitute a default under, this Indenture or any other agreement or instrument to which the Company is a party or by which it is bound; </w:t>
      </w:r>
    </w:p>
    <w:p>
      <w:pPr>
        <w:pStyle w:val="TextBody"/>
        <w:bidi w:val="0"/>
        <w:spacing w:before="120" w:after="0"/>
        <w:jc w:val="left"/>
        <w:rPr>
          <w:rFonts w:ascii="Times New Roman" w:hAnsi="Times New Roman"/>
          <w:sz w:val="20"/>
        </w:rPr>
      </w:pPr>
      <w:r>
        <w:rPr>
          <w:rFonts w:ascii="Times New Roman" w:hAnsi="Times New Roman"/>
          <w:sz w:val="20"/>
        </w:rPr>
        <w:t xml:space="preserve">(iii) no Default or Event of Default with respect to the Securities of such Series shall have occurred and be continuing on the date of such deposit or during the period ending on the 91st day after such date; </w:t>
      </w:r>
    </w:p>
    <w:p>
      <w:pPr>
        <w:pStyle w:val="TextBody"/>
        <w:bidi w:val="0"/>
        <w:spacing w:before="120" w:after="0"/>
        <w:jc w:val="left"/>
        <w:rPr>
          <w:rFonts w:ascii="Times New Roman" w:hAnsi="Times New Roman"/>
          <w:sz w:val="20"/>
        </w:rPr>
      </w:pPr>
      <w:r>
        <w:rPr>
          <w:rFonts w:ascii="Times New Roman" w:hAnsi="Times New Roman"/>
          <w:sz w:val="20"/>
        </w:rPr>
        <w:t xml:space="preserve">(iv) the Company shall have delivered to the Trustee an Officers Certificate and an Opinion of Counsel to the effect that (A) the Company has received from, or there has been published by, the Internal Revenue Service a ruling, or (B)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(v) 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(vi) the Company shall have delivered to the Trustee an Officers Certificate and an Opinion of Counsel, each stating that all conditions precedent provided for relating to the defeasance contemplated by this Section have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(vii) such defeasance shall not result in the trust arising from such deposit constituting an investment company within the meaning of the Investment Company Act of 1940, as amended, unless such trust shall be registered under such Act or exempt from registration thereunder.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8.04 Covenant Defeasance.</w:t>
      </w:r>
      <w:r>
        <w:rPr>
          <w:rFonts w:ascii="Times New Roman" w:hAnsi="Times New Roman"/>
          <w:sz w:val="20"/>
        </w:rPr>
        <w:t xml:space="preserve"> Unless this Section 8.04 is otherwise specified, pursuant to Section 2.02(s), to be inapplicable to Securities of any Series, on and after the 91st day after the date of the deposit referred to in subparagraph (a) hereof, the Company may omit to comply with respect to the Securities of any Series with any term, provision or condition set forth under Sections 4.02, 4.03, and 5.01 as well as any additional covenants specified in a supplemental indenture for such Series of Securities or a Board Resolution or an Officers Certificate delivered pursuant to Section 2.02 (and the failure to comply with any such covenants shall not constitute a Default or Event of Default with respect to such Series under Section 6.01) and the occurrence of any event specified in a supplemental indenture for such Series of Securities or a Board Resolution or an Officers Certificate delivered pursuant to Section 2.02 and designated as an Event of Default shall not constitute a Default or Event of Default hereunder, with respect to the Securities of such Series, provided that the following conditions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(a) with reference to this Section 8.04, the Company has deposited or caused to be irrevocably deposited (except as provided in Section 8.02(c))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 </w:t>
      </w:r>
    </w:p>
    <w:p>
      <w:pPr>
        <w:pStyle w:val="TextBody"/>
        <w:bidi w:val="0"/>
        <w:spacing w:before="120" w:after="0"/>
        <w:jc w:val="left"/>
        <w:rPr>
          <w:rFonts w:ascii="Times New Roman" w:hAnsi="Times New Roman"/>
          <w:sz w:val="20"/>
        </w:rPr>
      </w:pPr>
      <w:r>
        <w:rPr>
          <w:rFonts w:ascii="Times New Roman" w:hAnsi="Times New Roman"/>
          <w:sz w:val="20"/>
        </w:rPr>
        <w:t xml:space="preserve">(b) such deposit will not result in a breach or violation of, or constitute a default under, this Indenture or any other agreement or instrument to which the Company is a party or by which it is bound; </w:t>
      </w:r>
    </w:p>
    <w:p>
      <w:pPr>
        <w:pStyle w:val="TextBody"/>
        <w:bidi w:val="0"/>
        <w:spacing w:before="120" w:after="0"/>
        <w:jc w:val="left"/>
        <w:rPr>
          <w:rFonts w:ascii="Times New Roman" w:hAnsi="Times New Roman"/>
          <w:sz w:val="20"/>
        </w:rPr>
      </w:pPr>
      <w:r>
        <w:rPr>
          <w:rFonts w:ascii="Times New Roman" w:hAnsi="Times New Roman"/>
          <w:sz w:val="20"/>
        </w:rPr>
        <w:t xml:space="preserve">(c) no Default or Event of Default with respect to the Securities of such Series shall have occurred and be continuing on the date of such deposit or during the period ending on the 91st day after such date;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Company shall have delivered to the Trustee an Officers Certificate and an Opinion of Counsel, each stating that all conditions precedent herein provided for relating to the covenant defeasance contemplated by this Section have been complied with; and </w:t>
      </w:r>
    </w:p>
    <w:p>
      <w:pPr>
        <w:pStyle w:val="TextBody"/>
        <w:bidi w:val="0"/>
        <w:spacing w:before="240" w:after="0"/>
        <w:jc w:val="left"/>
        <w:rPr>
          <w:rFonts w:ascii="Times New Roman" w:hAnsi="Times New Roman"/>
          <w:sz w:val="20"/>
        </w:rPr>
      </w:pPr>
      <w:r>
        <w:rPr>
          <w:rFonts w:ascii="Times New Roman" w:hAnsi="Times New Roman"/>
          <w:sz w:val="20"/>
        </w:rPr>
        <w:t xml:space="preserve">(f) Such defeasance shall not result in the trust arising from such deposit constituting an investment company within the meaning of the Investment Company Act of 1940, as amended, unless such trust shall be registered under such Act or exempt from registration thereunder.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8.05 Repayment to Company.</w:t>
      </w:r>
      <w:r>
        <w:rPr>
          <w:rFonts w:ascii="Times New Roman" w:hAnsi="Times New Roman"/>
          <w:sz w:val="20"/>
        </w:rPr>
        <w:t xml:space="preserve"> The Trustee and the Paying Agent shall pay to the Company upon written request any money held by them for the payment of principal and interest, if any, that remains unclaimed for two years, and after such time, Holders entitled to the money must look to the Company for payment as general creditors unless an applicable abandoned property law designates another person.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8.06 Reinstatement.</w:t>
      </w:r>
      <w:r>
        <w:rPr>
          <w:rFonts w:ascii="Times New Roman" w:hAnsi="Times New Roman"/>
          <w:sz w:val="20"/>
        </w:rPr>
        <w:t xml:space="preserve"> If the Trustee or the Paying Agent is unable to apply any money deposited with respect to Securities of any Series in accordance with Section 8.01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8.01 until such time as the Trustee or the Paying Agent is permitted to apply all such money in accordance with Section 8.01; provided, however, that if the Company has made any payment of principal of, premium (if any) or interest, if any, on any Additional Amounts with respect to any Securities because of the reinstatement of its obligations, the Company shall be subrogated to the rights of the Holders of such Securities to receive such payment from the money held by the Trustee or the Paying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AND WAIVERS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9.01 Without Consent of Holders.</w:t>
      </w:r>
      <w:r>
        <w:rPr>
          <w:rFonts w:ascii="Times New Roman" w:hAnsi="Times New Roman"/>
          <w:sz w:val="20"/>
        </w:rPr>
        <w:t xml:space="preserve"> The Company and the Trustee may amend or supplement this Indenture or the Securities of one or more Series without the consent of any Holder: </w:t>
      </w:r>
    </w:p>
    <w:p>
      <w:pPr>
        <w:pStyle w:val="TextBody"/>
        <w:bidi w:val="0"/>
        <w:spacing w:before="120" w:after="0"/>
        <w:jc w:val="left"/>
        <w:rPr>
          <w:rFonts w:ascii="Times New Roman" w:hAnsi="Times New Roman"/>
          <w:sz w:val="20"/>
        </w:rPr>
      </w:pPr>
      <w:r>
        <w:rPr>
          <w:rFonts w:ascii="Times New Roman" w:hAnsi="Times New Roman"/>
          <w:sz w:val="20"/>
        </w:rPr>
        <w:t xml:space="preserve">(a) to evidence the succession of another person to the Company under this Indenture and the Securities and the assumption by any such Successor Person of the obligations of the Company hereunder and under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(b) to add or remove covenants of the Company for the benefit of the Holders of all or any series of Securities (and if such covenants are to be for the benefit of less than all series of Securities, stating that such covenants are expressly being included for the benefit of such series) or to surrender any right or power herein conferred upon the Company provided such action does not adversely affect the interests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(c) to add any additional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(d) 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w:t>
      </w:r>
    </w:p>
    <w:p>
      <w:pPr>
        <w:pStyle w:val="TextBody"/>
        <w:bidi w:val="0"/>
        <w:spacing w:before="120" w:after="0"/>
        <w:jc w:val="left"/>
        <w:rPr>
          <w:rFonts w:ascii="Times New Roman" w:hAnsi="Times New Roman"/>
          <w:sz w:val="20"/>
        </w:rPr>
      </w:pPr>
      <w:r>
        <w:rPr>
          <w:rFonts w:ascii="Times New Roman" w:hAnsi="Times New Roman"/>
          <w:sz w:val="20"/>
        </w:rPr>
        <w:t xml:space="preserve">(e) 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w:t>
      </w:r>
    </w:p>
    <w:p>
      <w:pPr>
        <w:pStyle w:val="TextBody"/>
        <w:bidi w:val="0"/>
        <w:spacing w:before="120" w:after="0"/>
        <w:jc w:val="left"/>
        <w:rPr>
          <w:rFonts w:ascii="Times New Roman" w:hAnsi="Times New Roman"/>
          <w:sz w:val="20"/>
        </w:rPr>
      </w:pPr>
      <w:r>
        <w:rPr>
          <w:rFonts w:ascii="Times New Roman" w:hAnsi="Times New Roman"/>
          <w:sz w:val="20"/>
        </w:rPr>
        <w:t xml:space="preserve">(f) to establish the forms or terms of the Securities of any series issued pursuant to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(g) to cure any ambiguity or correct any inconsistency in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(h)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to qualify this Indenture under the TIA; </w:t>
      </w:r>
    </w:p>
    <w:p>
      <w:pPr>
        <w:pStyle w:val="TextBody"/>
        <w:bidi w:val="0"/>
        <w:spacing w:before="120" w:after="0"/>
        <w:jc w:val="left"/>
        <w:rPr>
          <w:rFonts w:ascii="Times New Roman" w:hAnsi="Times New Roman"/>
          <w:sz w:val="20"/>
        </w:rPr>
      </w:pPr>
      <w:r>
        <w:rPr>
          <w:rFonts w:ascii="Times New Roman" w:hAnsi="Times New Roman"/>
          <w:sz w:val="20"/>
        </w:rPr>
        <w:t xml:space="preserve">(j) to provide for uncertificated securities in addition to certificated securities; </w:t>
      </w:r>
    </w:p>
    <w:p>
      <w:pPr>
        <w:pStyle w:val="TextBody"/>
        <w:bidi w:val="0"/>
        <w:spacing w:before="120" w:after="0"/>
        <w:jc w:val="left"/>
        <w:rPr>
          <w:rFonts w:ascii="Times New Roman" w:hAnsi="Times New Roman"/>
          <w:sz w:val="20"/>
        </w:rPr>
      </w:pPr>
      <w:r>
        <w:rPr>
          <w:rFonts w:ascii="Times New Roman" w:hAnsi="Times New Roman"/>
          <w:sz w:val="20"/>
        </w:rPr>
        <w:t xml:space="preserve">(k) to supplement any provisions of this Indenture necessary to permit or facilitate the defeasance and discharge of any series of Securities, provided that such action does not adversely affect the interests of the Holders of Securities of such series or any other series; and </w:t>
      </w:r>
    </w:p>
    <w:p>
      <w:pPr>
        <w:pStyle w:val="TextBody"/>
        <w:bidi w:val="0"/>
        <w:spacing w:before="120" w:after="0"/>
        <w:jc w:val="left"/>
        <w:rPr>
          <w:rFonts w:ascii="Times New Roman" w:hAnsi="Times New Roman"/>
          <w:sz w:val="20"/>
        </w:rPr>
      </w:pPr>
      <w:r>
        <w:rPr>
          <w:rFonts w:ascii="Times New Roman" w:hAnsi="Times New Roman"/>
          <w:sz w:val="20"/>
        </w:rPr>
        <w:t xml:space="preserve">(l) to comply with the rules or regulations of any securities exchange or automated quotation system on which any of the Securities may be listed or traded.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9.02 With Consent of Holders.</w:t>
      </w:r>
      <w:r>
        <w:rPr>
          <w:rFonts w:ascii="Times New Roman" w:hAnsi="Times New Roman"/>
          <w:sz w:val="20"/>
        </w:rPr>
        <w:t xml:space="preserve"> 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 It shall not be necessary for the consent of the Holders of Securities under this Section 9.02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and, if any Bearer Securities affected thereby are outstanding, publish on one occasion in an Authorized Newspaper, a notice briefly describing the supplemental indenture or waiver. Any failure by the Company to mail or publish such notice, or any defect therein, shall not, however, in any way impair or affect the validity of any such supplemental indenture or waiver.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9.03 Limitations.</w:t>
      </w:r>
      <w:r>
        <w:rPr>
          <w:rFonts w:ascii="Times New Roman" w:hAnsi="Times New Roman"/>
          <w:sz w:val="20"/>
        </w:rPr>
        <w:t xml:space="preserve"> Without the consent of each Holder affected, an amendment or waiver may not: </w:t>
      </w:r>
    </w:p>
    <w:p>
      <w:pPr>
        <w:pStyle w:val="TextBody"/>
        <w:bidi w:val="0"/>
        <w:spacing w:before="120" w:after="0"/>
        <w:jc w:val="left"/>
        <w:rPr>
          <w:rFonts w:ascii="Times New Roman" w:hAnsi="Times New Roman"/>
          <w:sz w:val="20"/>
        </w:rPr>
      </w:pPr>
      <w:r>
        <w:rPr>
          <w:rFonts w:ascii="Times New Roman" w:hAnsi="Times New Roman"/>
          <w:sz w:val="20"/>
        </w:rPr>
        <w:t xml:space="preserve">(a) reduce the amount of Securities whose Holders must consent to an amendment, supplement or waiver; </w:t>
      </w:r>
    </w:p>
    <w:p>
      <w:pPr>
        <w:pStyle w:val="TextBody"/>
        <w:bidi w:val="0"/>
        <w:spacing w:before="120" w:after="0"/>
        <w:jc w:val="left"/>
        <w:rPr>
          <w:rFonts w:ascii="Times New Roman" w:hAnsi="Times New Roman"/>
          <w:sz w:val="20"/>
        </w:rPr>
      </w:pPr>
      <w:r>
        <w:rPr>
          <w:rFonts w:ascii="Times New Roman" w:hAnsi="Times New Roman"/>
          <w:sz w:val="20"/>
        </w:rPr>
        <w:t xml:space="preserve">(b) reduce the rate of or extend the time for payment of interest (including default interest), if any, on any Security; </w:t>
      </w:r>
    </w:p>
    <w:p>
      <w:pPr>
        <w:pStyle w:val="TextBody"/>
        <w:bidi w:val="0"/>
        <w:spacing w:before="120" w:after="0"/>
        <w:jc w:val="left"/>
        <w:rPr>
          <w:rFonts w:ascii="Times New Roman" w:hAnsi="Times New Roman"/>
          <w:sz w:val="20"/>
        </w:rPr>
      </w:pPr>
      <w:r>
        <w:rPr>
          <w:rFonts w:ascii="Times New Roman" w:hAnsi="Times New Roman"/>
          <w:sz w:val="20"/>
        </w:rPr>
        <w:t xml:space="preserve">(c) reduce the principal or change the Stated Maturity of any Security or reduce the amount of, or postpone the date fixed for, the payment of any sinking fund or analogous obligation; </w:t>
      </w:r>
    </w:p>
    <w:p>
      <w:pPr>
        <w:pStyle w:val="TextBody"/>
        <w:bidi w:val="0"/>
        <w:spacing w:before="120" w:after="0"/>
        <w:jc w:val="left"/>
        <w:rPr>
          <w:rFonts w:ascii="Times New Roman" w:hAnsi="Times New Roman"/>
          <w:sz w:val="20"/>
        </w:rPr>
      </w:pPr>
      <w:r>
        <w:rPr>
          <w:rFonts w:ascii="Times New Roman" w:hAnsi="Times New Roman"/>
          <w:sz w:val="20"/>
        </w:rPr>
        <w:t xml:space="preserve">(d) reduce the principal amount of Discount Securities payable upon acceleration of the maturity thereof; </w:t>
      </w:r>
    </w:p>
    <w:p>
      <w:pPr>
        <w:pStyle w:val="TextBody"/>
        <w:bidi w:val="0"/>
        <w:spacing w:before="120" w:after="0"/>
        <w:jc w:val="left"/>
        <w:rPr>
          <w:rFonts w:ascii="Times New Roman" w:hAnsi="Times New Roman"/>
          <w:sz w:val="20"/>
        </w:rPr>
      </w:pPr>
      <w:r>
        <w:rPr>
          <w:rFonts w:ascii="Times New Roman" w:hAnsi="Times New Roman"/>
          <w:sz w:val="20"/>
        </w:rPr>
        <w:t xml:space="preserve">(e)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 </w:t>
      </w:r>
    </w:p>
    <w:p>
      <w:pPr>
        <w:pStyle w:val="TextBody"/>
        <w:bidi w:val="0"/>
        <w:spacing w:before="120" w:after="0"/>
        <w:jc w:val="left"/>
        <w:rPr>
          <w:rFonts w:ascii="Times New Roman" w:hAnsi="Times New Roman"/>
          <w:sz w:val="20"/>
        </w:rPr>
      </w:pPr>
      <w:r>
        <w:rPr>
          <w:rFonts w:ascii="Times New Roman" w:hAnsi="Times New Roman"/>
          <w:sz w:val="20"/>
        </w:rPr>
        <w:t xml:space="preserve">(f) make the principal of or interest, if any, on any Security payable in any currency other than that stated in the Security; </w:t>
      </w:r>
    </w:p>
    <w:p>
      <w:pPr>
        <w:pStyle w:val="TextBody"/>
        <w:bidi w:val="0"/>
        <w:spacing w:before="120" w:after="0"/>
        <w:jc w:val="left"/>
        <w:rPr>
          <w:rFonts w:ascii="Times New Roman" w:hAnsi="Times New Roman"/>
          <w:sz w:val="20"/>
        </w:rPr>
      </w:pPr>
      <w:r>
        <w:rPr>
          <w:rFonts w:ascii="Times New Roman" w:hAnsi="Times New Roman"/>
          <w:sz w:val="20"/>
        </w:rPr>
        <w:t xml:space="preserve">(g) make any change in Sections 6.08, 6.13, or 9.03; or </w:t>
      </w:r>
    </w:p>
    <w:p>
      <w:pPr>
        <w:pStyle w:val="TextBody"/>
        <w:bidi w:val="0"/>
        <w:spacing w:before="120" w:after="0"/>
        <w:jc w:val="left"/>
        <w:rPr>
          <w:rFonts w:ascii="Times New Roman" w:hAnsi="Times New Roman"/>
          <w:sz w:val="20"/>
        </w:rPr>
      </w:pPr>
      <w:r>
        <w:rPr>
          <w:rFonts w:ascii="Times New Roman" w:hAnsi="Times New Roman"/>
          <w:sz w:val="20"/>
        </w:rPr>
        <w:t xml:space="preserve">(h) waive a redemption payment with respect to any Security.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9.04 Compliance with Trust Indenture Act.</w:t>
      </w:r>
      <w:r>
        <w:rPr>
          <w:rFonts w:ascii="Times New Roman" w:hAnsi="Times New Roman"/>
          <w:sz w:val="20"/>
        </w:rPr>
        <w:t xml:space="preserve"> Every amendment to this Indenture or the Securities of one or more Series shall be set forth in a supplemental indenture hereto that complies with the TIA as then in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9.05 Revocation and Effect of Consents.</w:t>
      </w:r>
      <w:r>
        <w:rPr>
          <w:rFonts w:ascii="Times New Roman" w:hAnsi="Times New Roman"/>
          <w:sz w:val="20"/>
        </w:rPr>
        <w:t xml:space="preserve"> 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 Any amendment or waiver once effective shall bind every Holder of each Series affected by such amendment or waiver unless it is of the type described in any of clauses (a) through (h) of Section 9.03. In that case, the amendment or waiver shall bind each Holder of a Security who has consented to it and every subsequent Holder of a Security or portion of a Security that evidences the same debt as the consenting Holders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9.06 Notation on or Exchange of Securities.</w:t>
      </w:r>
      <w:r>
        <w:rPr>
          <w:rFonts w:ascii="Times New Roman" w:hAnsi="Times New Roman"/>
          <w:sz w:val="20"/>
        </w:rPr>
        <w:t xml:space="preserve"> The Trustee may place an appropriate notation about an amendment or waiver on any Security of any Series thereafter authenticated. The Company in exchange for Securities of that Series may issue and the Trustee shall authenticate upon request new Securities of that Series that reflect the amendment or waiver.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9.07 Trustee Protected.</w:t>
      </w:r>
      <w:r>
        <w:rPr>
          <w:rFonts w:ascii="Times New Roman" w:hAnsi="Times New Roman"/>
          <w:sz w:val="20"/>
        </w:rPr>
        <w:t xml:space="preserve"> In executing, or accepting the additional trusts created by, any supplemental indenture permitted by this Article or the modifications thereby of the trusts created by this Indenture, the Trustee shall be entitled to receive, in addition to the documents required by Section 10.04, and (subject to Section 7.01) shall be fully protected in relying upon, an Opinion of Counsel stating that the execution of such supplemental indenture is authorized or permitted by this Indenture. The Trustee shall sign all supplemental indentures, except that the Trustee need not sign any supplemental indenture that adversely affects its rights.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10.01 Trust Indenture Act Controls.</w:t>
      </w:r>
      <w:r>
        <w:rPr>
          <w:rFonts w:ascii="Times New Roman" w:hAnsi="Times New Roman"/>
          <w:sz w:val="20"/>
        </w:rPr>
        <w:t xml:space="preserve"> If any provision of this Indenture limits, qualifies or conflicts with another provision which is required or deemed to be included in this Indenture by the TIA, such required or deemed provision shall control. </w:t>
      </w:r>
    </w:p>
    <w:p>
      <w:pPr>
        <w:pStyle w:val="TextBody"/>
        <w:bidi w:val="0"/>
        <w:spacing w:before="240" w:after="0"/>
        <w:jc w:val="left"/>
        <w:rPr>
          <w:rFonts w:ascii="Times New Roman" w:hAnsi="Times New Roman"/>
          <w:sz w:val="20"/>
        </w:rPr>
      </w:pPr>
      <w:r>
        <w:rPr>
          <w:rFonts w:ascii="Times New Roman" w:hAnsi="Times New Roman"/>
          <w:b/>
          <w:sz w:val="20"/>
        </w:rPr>
        <w:t>Section 10.02 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notice or communication by the Company or the Trustee to the other, or by a Holder to the Company or the Trustee, is duly given if in writing and delivered in person or mailed by first-class mail or sent by telecopier transmission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0" w:after="0"/>
        <w:jc w:val="left"/>
        <w:rPr>
          <w:rFonts w:ascii="Times New Roman" w:hAnsi="Times New Roman"/>
          <w:sz w:val="20"/>
        </w:rPr>
      </w:pPr>
      <w:r>
        <w:rPr>
          <w:rFonts w:ascii="Times New Roman" w:hAnsi="Times New Roman"/>
          <w:sz w:val="20"/>
        </w:rPr>
        <w:t xml:space="preserve">Navios Maritime Partners L.P. </w:t>
      </w:r>
    </w:p>
    <w:p>
      <w:pPr>
        <w:pStyle w:val="TextBody"/>
        <w:bidi w:val="0"/>
        <w:spacing w:before="0" w:after="0"/>
        <w:jc w:val="left"/>
        <w:rPr>
          <w:rFonts w:ascii="Times New Roman" w:hAnsi="Times New Roman"/>
          <w:sz w:val="20"/>
        </w:rPr>
      </w:pPr>
      <w:r>
        <w:rPr>
          <w:rFonts w:ascii="Times New Roman" w:hAnsi="Times New Roman"/>
          <w:sz w:val="20"/>
        </w:rPr>
        <w:t xml:space="preserve">7 Avenue de Grande Bretagne, Office 11B2 </w:t>
      </w:r>
    </w:p>
    <w:p>
      <w:pPr>
        <w:pStyle w:val="TextBody"/>
        <w:bidi w:val="0"/>
        <w:spacing w:before="0" w:after="0"/>
        <w:jc w:val="left"/>
        <w:rPr>
          <w:rFonts w:ascii="Times New Roman" w:hAnsi="Times New Roman"/>
          <w:sz w:val="20"/>
        </w:rPr>
      </w:pPr>
      <w:r>
        <w:rPr>
          <w:rFonts w:ascii="Times New Roman" w:hAnsi="Times New Roman"/>
          <w:sz w:val="20"/>
        </w:rPr>
        <w:t xml:space="preserve">Monte Carlo, MC 98000 Monaco </w:t>
      </w:r>
    </w:p>
    <w:p>
      <w:pPr>
        <w:pStyle w:val="TextBody"/>
        <w:bidi w:val="0"/>
        <w:spacing w:before="0" w:after="0"/>
        <w:jc w:val="left"/>
        <w:rPr>
          <w:rFonts w:ascii="Times New Roman" w:hAnsi="Times New Roman"/>
          <w:sz w:val="20"/>
        </w:rPr>
      </w:pPr>
      <w:r>
        <w:rPr>
          <w:rFonts w:ascii="Times New Roman" w:hAnsi="Times New Roman"/>
          <w:sz w:val="20"/>
        </w:rPr>
        <w:t xml:space="preserve">Attention: Vasiliki Papaefthymiou </w:t>
      </w:r>
    </w:p>
    <w:p>
      <w:pPr>
        <w:pStyle w:val="TextBody"/>
        <w:bidi w:val="0"/>
        <w:spacing w:before="0" w:after="0"/>
        <w:jc w:val="left"/>
        <w:rPr>
          <w:rFonts w:ascii="Times New Roman" w:hAnsi="Times New Roman"/>
          <w:sz w:val="20"/>
        </w:rPr>
      </w:pPr>
      <w:r>
        <w:rPr>
          <w:rFonts w:ascii="Times New Roman" w:hAnsi="Times New Roman"/>
          <w:sz w:val="20"/>
        </w:rPr>
        <w:t xml:space="preserve">Telephone: (011) + (377) 9798-2140 </w:t>
      </w:r>
    </w:p>
    <w:p>
      <w:pPr>
        <w:pStyle w:val="TextBody"/>
        <w:bidi w:val="0"/>
        <w:spacing w:before="24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0" w:after="0"/>
        <w:jc w:val="left"/>
        <w:rPr>
          <w:rFonts w:ascii="Times New Roman" w:hAnsi="Times New Roman"/>
          <w:sz w:val="20"/>
        </w:rPr>
      </w:pP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 xml:space="preserve">(b) The Company or the Trustee by notice to the other may designate additional or different addresses for subsequent notices or communications. Any notice or communication to a Holder shall be mailed by first-class mail to his address shown on the register kept by the Registrar and, if any Bearer Securities are outstanding, published in an Authorized Newspaper. Failure to mail a notice or communication to a Holder of any Series or any defect in it shall not affect its sufficiency with respect to other Holders of that or any other Series. If a notice or communication is mailed or published in the manner provided above, within the time prescribed, it is duly given, whether or not the Holder receives it. If the Company mails a notice or communication to Holders, it shall mail a copy to the Trustee and each Agent at the same time. </w:t>
      </w:r>
    </w:p>
    <w:p>
      <w:pPr>
        <w:pStyle w:val="TextBody"/>
        <w:bidi w:val="0"/>
        <w:spacing w:before="120" w:after="0"/>
        <w:jc w:val="left"/>
        <w:rPr>
          <w:rFonts w:ascii="Times New Roman" w:hAnsi="Times New Roman"/>
          <w:sz w:val="20"/>
        </w:rPr>
      </w:pPr>
      <w:r>
        <w:rPr>
          <w:rFonts w:ascii="Times New Roman" w:hAnsi="Times New Roman"/>
          <w:sz w:val="20"/>
        </w:rPr>
        <w:t xml:space="preserve">(c) Any notice or demand that by any provision of this Indenture is required or permitted to be given or served by the Company may, at the Companys written request received by the Trustee not fewer than five (5) Business Days prior (or such shorter period of time as may be acceptable to the Trustee) to the date on which such notice must be given or served, be given or served by the Trustee in the name of and at the expense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10.03 Communication by Holders with Other Holders.</w:t>
      </w:r>
      <w:r>
        <w:rPr>
          <w:rFonts w:ascii="Times New Roman" w:hAnsi="Times New Roman"/>
          <w:sz w:val="20"/>
        </w:rPr>
        <w:t xml:space="preserve"> Holders of any Series may communicate pursuant to TIA Section 312(b) with other Holders of that Series or any other Series with respect to their rights under this Indenture or the Securities of that Series or all Series. The Company, the Trustee, the Registrar and anyone else shall have the protection of TIA Section 312(c).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10.04 Certificate and Opinion as to Conditions Precedent.</w:t>
      </w:r>
      <w:r>
        <w:rPr>
          <w:rFonts w:ascii="Times New Roman" w:hAnsi="Times New Roman"/>
          <w:sz w:val="20"/>
        </w:rPr>
        <w:t xml:space="preserve"> Upon any request or application by the Company to the Trustee to take any action under this Indenture, the Company shall furnish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(a) an Officers Certificate stating that, in the opinion of the signers, all conditions precedent, if any, provided for in this Indenture relating to the proposed action have been complied with; and </w:t>
      </w:r>
    </w:p>
    <w:p>
      <w:pPr>
        <w:pStyle w:val="TextBody"/>
        <w:bidi w:val="0"/>
        <w:spacing w:before="240" w:after="0"/>
        <w:jc w:val="left"/>
        <w:rPr>
          <w:rFonts w:ascii="Times New Roman" w:hAnsi="Times New Roman"/>
          <w:sz w:val="20"/>
        </w:rPr>
      </w:pPr>
      <w:r>
        <w:rPr>
          <w:rFonts w:ascii="Times New Roman" w:hAnsi="Times New Roman"/>
          <w:sz w:val="20"/>
        </w:rPr>
        <w:t xml:space="preserve">(b) an Opinion of Counsel stating that, in the opinion of such counsel, all such conditions precedent have been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10.05 Statements Required in Certificate or Opinion.</w:t>
      </w:r>
      <w:r>
        <w:rPr>
          <w:rFonts w:ascii="Times New Roman" w:hAnsi="Times New Roman"/>
          <w:sz w:val="20"/>
        </w:rPr>
        <w:t xml:space="preserve"> Each certificate or opinion with respect to compliance with a condition or covenant provided for in this Indenture (other than a certificate provided pursuant to TIA Section 314(a)(4)) shall comply with the provisions of TIA Section 314(e) and shall include: </w:t>
      </w:r>
    </w:p>
    <w:p>
      <w:pPr>
        <w:pStyle w:val="TextBody"/>
        <w:bidi w:val="0"/>
        <w:spacing w:before="120" w:after="0"/>
        <w:jc w:val="left"/>
        <w:rPr>
          <w:rFonts w:ascii="Times New Roman" w:hAnsi="Times New Roman"/>
          <w:sz w:val="20"/>
        </w:rPr>
      </w:pPr>
      <w:r>
        <w:rPr>
          <w:rFonts w:ascii="Times New Roman" w:hAnsi="Times New Roman"/>
          <w:sz w:val="20"/>
        </w:rPr>
        <w:t xml:space="preserve">(a) a statement that the person making such certificate or opinion has read such covenant or condition; </w:t>
      </w:r>
    </w:p>
    <w:p>
      <w:pPr>
        <w:pStyle w:val="TextBody"/>
        <w:bidi w:val="0"/>
        <w:spacing w:before="12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or opinions contained in such certificate or opinion are based; </w:t>
      </w:r>
    </w:p>
    <w:p>
      <w:pPr>
        <w:pStyle w:val="TextBody"/>
        <w:bidi w:val="0"/>
        <w:spacing w:before="120" w:after="0"/>
        <w:jc w:val="left"/>
        <w:rPr>
          <w:rFonts w:ascii="Times New Roman" w:hAnsi="Times New Roman"/>
          <w:sz w:val="20"/>
        </w:rPr>
      </w:pPr>
      <w:r>
        <w:rPr>
          <w:rFonts w:ascii="Times New Roman" w:hAnsi="Times New Roman"/>
          <w:sz w:val="20"/>
        </w:rPr>
        <w:t xml:space="preserve">(c) a statement that, in the opinion of such person, he has made such examination or investigation as is necessary to enable him to express an informed opinion as to whether or not such covenant or condition has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(d)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10.06 Rules by Trustee and Agents.</w:t>
      </w:r>
      <w:r>
        <w:rPr>
          <w:rFonts w:ascii="Times New Roman" w:hAnsi="Times New Roman"/>
          <w:sz w:val="20"/>
        </w:rPr>
        <w:t xml:space="preserve"> The Trustee may make reasonable rules for action by or a meeting of Holders of one or more Series. Any Agent may make reasonable rules and set reasonable requirements for its functions.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10.07 Legal Holidays.</w:t>
      </w:r>
      <w:r>
        <w:rPr>
          <w:rFonts w:ascii="Times New Roman" w:hAnsi="Times New Roman"/>
          <w:sz w:val="20"/>
        </w:rPr>
        <w:t xml:space="preserve"> Unless otherwise provided by Board Resolution, Officers Certificate or supplemental indenture hereto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10.08 No Recourse Against Others.</w:t>
      </w:r>
      <w:r>
        <w:rPr>
          <w:rFonts w:ascii="Times New Roman" w:hAnsi="Times New Roman"/>
          <w:sz w:val="20"/>
        </w:rPr>
        <w:t xml:space="preserve"> A director, officer, employee or unitholder, as such, of the Company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10.09 Counterparts.</w:t>
      </w:r>
      <w:r>
        <w:rPr>
          <w:rFonts w:ascii="Times New Roman" w:hAnsi="Times New Roman"/>
          <w:sz w:val="20"/>
        </w:rPr>
        <w:t xml:space="preserve"> This Indenture may be executed in any number of counterparts and by the parties hereto in separate counterparts, each of which when so executed shall be deemed to be an original and all of which taken together shall constitute one and the same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10.10 Governing Laws.</w:t>
      </w:r>
      <w:r>
        <w:rPr>
          <w:rFonts w:ascii="Times New Roman" w:hAnsi="Times New Roman"/>
          <w:sz w:val="20"/>
        </w:rPr>
        <w:t xml:space="preserve"> This Indenture and the Securities will be governed by, and construed in accordance with, the internal laws of the State of New York, without regard to conflict of law principles that would result in the application of any law other than the laws of the State of New York.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10.11 No Adverse Interpretation of Other Agreements.</w:t>
      </w:r>
      <w:r>
        <w:rPr>
          <w:rFonts w:ascii="Times New Roman" w:hAnsi="Times New Roman"/>
          <w:sz w:val="20"/>
        </w:rPr>
        <w:t xml:space="preserve"> This Indenture may not be used to interpret another indenture, loan or debt agreement of the Company or a Subsidiary of the Company. Any such indenture, loan or debt agreement may not be used to interpret this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10.12 Successors.</w:t>
      </w:r>
      <w:r>
        <w:rPr>
          <w:rFonts w:ascii="Times New Roman" w:hAnsi="Times New Roman"/>
          <w:sz w:val="20"/>
        </w:rPr>
        <w:t xml:space="preserve"> All agreements of the Company in this Indenture and the Securities shall bind its successor. All agreements of the Trustee in this Indenture shall bind its successor.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10.13 Severability.</w:t>
      </w:r>
      <w:r>
        <w:rPr>
          <w:rFonts w:ascii="Times New Roman" w:hAnsi="Times New Roman"/>
          <w:sz w:val="20"/>
        </w:rPr>
        <w:t xml:space="preserve"> In case any provision in this Indenture or in the Securities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10.14 Table of Contents, Headings, Etc.</w:t>
      </w:r>
      <w:r>
        <w:rPr>
          <w:rFonts w:ascii="Times New Roman" w:hAnsi="Times New Roman"/>
          <w:sz w:val="20"/>
        </w:rPr>
        <w:t xml:space="preserve"> The Table of Contents, Cross-Reference Table, and headings of the Articles and Sections of this Indenture have been inserted for convenience of reference only, are not to be considered a part hereof,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10.15 Securities in a Foreign Currency.</w:t>
      </w:r>
      <w:r>
        <w:rPr>
          <w:rFonts w:ascii="Times New Roman" w:hAnsi="Times New Roman"/>
          <w:sz w:val="20"/>
        </w:rPr>
        <w:t xml:space="preserve"> Unless otherwise specified in a Board Resolution, a supplemental indenture hereto or an Officers Certificate delivered pursuant to Section 2.02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If such Market Exchange Rate is not available for any reason with respect to such currency, the Trustee shall use, in its sole discretion and without liability on its part, such quotation of the Federal Reserve Bank of New York as of the most recent available date, or quotations from one or more major banks in The City of New York or in the country of issue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currency in question or such other quotations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 All decisions and determinations of the Trustee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and all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10.16 Judgment Currency.</w:t>
      </w:r>
      <w:r>
        <w:rPr>
          <w:rFonts w:ascii="Times New Roman" w:hAnsi="Times New Roman"/>
          <w:sz w:val="20"/>
        </w:rPr>
        <w:t xml:space="preserve"> 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SINKING FUNDS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11.01 Applicability of Article.</w:t>
      </w:r>
      <w:r>
        <w:rPr>
          <w:rFonts w:ascii="Times New Roman" w:hAnsi="Times New Roman"/>
          <w:sz w:val="20"/>
        </w:rPr>
        <w:t xml:space="preserve"> The provisions of this Article shall be applicable to any sinking fund for the retirement of the Securities of a Series, except as otherwise permitted or required by any form of Security of such Series issued pursuant to this Indenture. 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11.02. Each sinking fund payment shall be applied to the redemption of Securities of any Series as provided for by the terms of the Securities of such Series.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11.02 Satisfaction of Sinking Fund Payments with Securities.</w:t>
      </w:r>
      <w:r>
        <w:rPr>
          <w:rFonts w:ascii="Times New Roman" w:hAnsi="Times New Roman"/>
          <w:sz w:val="20"/>
        </w:rPr>
        <w:t xml:space="preserve"> 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fifteen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11.02,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11.03 Redemption of Securities for Sinking Fund.</w:t>
      </w:r>
      <w:r>
        <w:rPr>
          <w:rFonts w:ascii="Times New Roman" w:hAnsi="Times New Roman"/>
          <w:sz w:val="20"/>
        </w:rPr>
        <w:t xml:space="preserve"> Not less than forty-five (45) days (unless otherwise indicated in the Board Resolution, supplemental indenture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portion thereof, if any, which is to be satisfied by payment of cash and the portion thereof, if any, which is to be satisfied by delivering and crediting of Securities of that Series pursuant to Section 11.02, and the optional amount, if any, to be added in cash to the next ensuing Mandatory Sinking Fund Payment, and the Company shall thereupon be obligated to pay the amount therein specified. Not less than thirty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3.03. Such notice having been duly given, the redemption of such Securities shall be made upon the terms and in the manner stated in Sections 3.04, 3.05 and 3.06.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and attested, all as of the day and year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180"/>
        <w:gridCol w:w="126"/>
        <w:gridCol w:w="2776"/>
      </w:tblGrid>
      <w:tr>
        <w:trPr/>
        <w:tc>
          <w:tcPr>
            <w:tcW w:w="118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NAVIOS MARITIME PARTNERS L.P.</w:t>
            </w:r>
          </w:p>
        </w:tc>
      </w:tr>
      <w:tr>
        <w:trPr>
          <w:trHeight w:val="240" w:hRule="atLeast"/>
        </w:trPr>
        <w:tc>
          <w:tcPr>
            <w:tcW w:w="1180" w:type="dxa"/>
            <w:tcBorders/>
            <w:vAlign w:val="center"/>
          </w:tcPr>
          <w:p>
            <w:pPr>
              <w:pStyle w:val="TableContents"/>
              <w:bidi w:val="0"/>
              <w:spacing w:before="0" w:after="283"/>
              <w:jc w:val="left"/>
              <w:rPr>
                <w:sz w:val="4"/>
                <w:szCs w:val="4"/>
              </w:rPr>
            </w:pPr>
            <w:r>
              <w:rPr>
                <w:sz w:val="4"/>
                <w:szCs w:val="4"/>
              </w:rPr>
            </w:r>
          </w:p>
        </w:tc>
        <w:tc>
          <w:tcPr>
            <w:tcW w:w="2902" w:type="dxa"/>
            <w:gridSpan w:val="2"/>
            <w:tcBorders/>
            <w:vAlign w:val="center"/>
          </w:tcPr>
          <w:p>
            <w:pPr>
              <w:pStyle w:val="TableContents"/>
              <w:bidi w:val="0"/>
              <w:spacing w:before="0" w:after="283"/>
              <w:jc w:val="left"/>
              <w:rPr>
                <w:sz w:val="4"/>
                <w:szCs w:val="4"/>
              </w:rPr>
            </w:pPr>
            <w:r>
              <w:rPr>
                <w:sz w:val="4"/>
                <w:szCs w:val="4"/>
              </w:rPr>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26" w:type="dxa"/>
            <w:tcBorders>
              <w:bottom w:val="single" w:sz="2" w:space="0" w:color="000000"/>
            </w:tcBorders>
            <w:tcMar>
              <w:bottom w:w="28" w:type="dxa"/>
            </w:tcMar>
            <w:vAlign w:val="bottom"/>
          </w:tcPr>
          <w:p>
            <w:pPr>
              <w:pStyle w:val="TableContents"/>
              <w:bidi w:val="0"/>
              <w:spacing w:before="0" w:after="283"/>
              <w:jc w:val="left"/>
              <w:rPr/>
            </w:pPr>
            <w:r>
              <w:rPr/>
              <w:t> </w:t>
            </w:r>
          </w:p>
        </w:tc>
        <w:tc>
          <w:tcPr>
            <w:tcW w:w="2776" w:type="dxa"/>
            <w:tcBorders>
              <w:bottom w:val="single" w:sz="2" w:space="0" w:color="000000"/>
            </w:tcBorders>
            <w:tcMar>
              <w:bottom w:w="28" w:type="dxa"/>
            </w:tcMar>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26" w:type="dxa"/>
            <w:tcBorders/>
            <w:vAlign w:val="bottom"/>
          </w:tcPr>
          <w:p>
            <w:pPr>
              <w:pStyle w:val="TableContents"/>
              <w:bidi w:val="0"/>
              <w:spacing w:before="0" w:after="283"/>
              <w:jc w:val="left"/>
              <w:rPr/>
            </w:pPr>
            <w:r>
              <w:rPr/>
              <w:t> </w:t>
            </w:r>
          </w:p>
        </w:tc>
        <w:tc>
          <w:tcPr>
            <w:tcW w:w="2776" w:type="dxa"/>
            <w:tcBorders/>
            <w:vAlign w:val="bottom"/>
          </w:tcPr>
          <w:p>
            <w:pPr>
              <w:pStyle w:val="TableContents"/>
              <w:bidi w:val="0"/>
              <w:spacing w:before="0" w:after="283"/>
              <w:jc w:val="left"/>
              <w:rPr>
                <w:sz w:val="4"/>
                <w:szCs w:val="4"/>
              </w:rPr>
            </w:pPr>
            <w:r>
              <w:rPr>
                <w:sz w:val="4"/>
                <w:szCs w:val="4"/>
              </w:rPr>
            </w:r>
          </w:p>
        </w:tc>
      </w:tr>
      <w:tr>
        <w:trPr/>
        <w:tc>
          <w:tcPr>
            <w:tcW w:w="1180" w:type="dxa"/>
            <w:tcBorders/>
          </w:tcPr>
          <w:p>
            <w:pPr>
              <w:pStyle w:val="TableContents"/>
              <w:bidi w:val="0"/>
              <w:spacing w:before="0" w:after="283"/>
              <w:jc w:val="left"/>
              <w:rPr>
                <w:sz w:val="20"/>
              </w:rPr>
            </w:pPr>
            <w:r>
              <w:rPr>
                <w:sz w:val="20"/>
              </w:rPr>
              <w:t>Title:</w:t>
            </w:r>
          </w:p>
        </w:tc>
        <w:tc>
          <w:tcPr>
            <w:tcW w:w="126" w:type="dxa"/>
            <w:tcBorders/>
            <w:vAlign w:val="bottom"/>
          </w:tcPr>
          <w:p>
            <w:pPr>
              <w:pStyle w:val="TableContents"/>
              <w:bidi w:val="0"/>
              <w:spacing w:before="0" w:after="283"/>
              <w:jc w:val="left"/>
              <w:rPr/>
            </w:pPr>
            <w:r>
              <w:rPr/>
              <w:t> </w:t>
            </w:r>
          </w:p>
        </w:tc>
        <w:tc>
          <w:tcPr>
            <w:tcW w:w="2776"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w:t>
            </w:r>
          </w:p>
          <w:p>
            <w:pPr>
              <w:pStyle w:val="TableContents"/>
              <w:bidi w:val="0"/>
              <w:spacing w:before="0" w:after="20"/>
              <w:jc w:val="left"/>
              <w:rPr>
                <w:rFonts w:ascii="Times New Roman" w:hAnsi="Times New Roman"/>
                <w:sz w:val="20"/>
              </w:rPr>
            </w:pPr>
            <w:r>
              <w:rPr>
                <w:rFonts w:ascii="Times New Roman" w:hAnsi="Times New Roman"/>
                <w:sz w:val="20"/>
              </w:rPr>
              <w:t>as Trustee</w:t>
            </w:r>
          </w:p>
        </w:tc>
      </w:tr>
      <w:tr>
        <w:trPr>
          <w:trHeight w:val="240" w:hRule="atLeast"/>
        </w:trPr>
        <w:tc>
          <w:tcPr>
            <w:tcW w:w="1180" w:type="dxa"/>
            <w:tcBorders/>
            <w:vAlign w:val="center"/>
          </w:tcPr>
          <w:p>
            <w:pPr>
              <w:pStyle w:val="TableContents"/>
              <w:bidi w:val="0"/>
              <w:spacing w:before="0" w:after="283"/>
              <w:jc w:val="left"/>
              <w:rPr>
                <w:sz w:val="4"/>
                <w:szCs w:val="4"/>
              </w:rPr>
            </w:pPr>
            <w:r>
              <w:rPr>
                <w:sz w:val="4"/>
                <w:szCs w:val="4"/>
              </w:rPr>
            </w:r>
          </w:p>
        </w:tc>
        <w:tc>
          <w:tcPr>
            <w:tcW w:w="2902" w:type="dxa"/>
            <w:gridSpan w:val="2"/>
            <w:tcBorders/>
            <w:vAlign w:val="center"/>
          </w:tcPr>
          <w:p>
            <w:pPr>
              <w:pStyle w:val="TableContents"/>
              <w:bidi w:val="0"/>
              <w:spacing w:before="0" w:after="283"/>
              <w:jc w:val="left"/>
              <w:rPr>
                <w:sz w:val="4"/>
                <w:szCs w:val="4"/>
              </w:rPr>
            </w:pPr>
            <w:r>
              <w:rPr>
                <w:sz w:val="4"/>
                <w:szCs w:val="4"/>
              </w:rPr>
            </w:r>
          </w:p>
        </w:tc>
      </w:tr>
      <w:tr>
        <w:trPr/>
        <w:tc>
          <w:tcPr>
            <w:tcW w:w="1180" w:type="dxa"/>
            <w:tcBorders/>
          </w:tcPr>
          <w:p>
            <w:pPr>
              <w:pStyle w:val="TableContents"/>
              <w:bidi w:val="0"/>
              <w:spacing w:before="0" w:after="283"/>
              <w:jc w:val="left"/>
              <w:rPr/>
            </w:pPr>
            <w:r>
              <w:rPr/>
              <w:t>By:</w:t>
            </w:r>
          </w:p>
        </w:tc>
        <w:tc>
          <w:tcPr>
            <w:tcW w:w="126" w:type="dxa"/>
            <w:tcBorders>
              <w:bottom w:val="single" w:sz="2" w:space="0" w:color="000000"/>
            </w:tcBorders>
            <w:tcMar>
              <w:bottom w:w="28" w:type="dxa"/>
            </w:tcMar>
            <w:vAlign w:val="bottom"/>
          </w:tcPr>
          <w:p>
            <w:pPr>
              <w:pStyle w:val="TableContents"/>
              <w:bidi w:val="0"/>
              <w:spacing w:before="0" w:after="283"/>
              <w:jc w:val="left"/>
              <w:rPr/>
            </w:pPr>
            <w:r>
              <w:rPr/>
              <w:t> </w:t>
            </w:r>
          </w:p>
        </w:tc>
        <w:tc>
          <w:tcPr>
            <w:tcW w:w="2776" w:type="dxa"/>
            <w:tcBorders>
              <w:bottom w:val="single" w:sz="2" w:space="0" w:color="000000"/>
            </w:tcBorders>
            <w:tcMar>
              <w:bottom w:w="28" w:type="dxa"/>
            </w:tcMar>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26" w:type="dxa"/>
            <w:tcBorders/>
            <w:vAlign w:val="bottom"/>
          </w:tcPr>
          <w:p>
            <w:pPr>
              <w:pStyle w:val="TableContents"/>
              <w:bidi w:val="0"/>
              <w:spacing w:before="0" w:after="283"/>
              <w:jc w:val="left"/>
              <w:rPr/>
            </w:pPr>
            <w:r>
              <w:rPr/>
              <w:t> </w:t>
            </w:r>
          </w:p>
        </w:tc>
        <w:tc>
          <w:tcPr>
            <w:tcW w:w="2776" w:type="dxa"/>
            <w:tcBorders/>
            <w:vAlign w:val="bottom"/>
          </w:tcPr>
          <w:p>
            <w:pPr>
              <w:pStyle w:val="TableContents"/>
              <w:bidi w:val="0"/>
              <w:spacing w:before="0" w:after="283"/>
              <w:jc w:val="left"/>
              <w:rPr>
                <w:sz w:val="4"/>
                <w:szCs w:val="4"/>
              </w:rPr>
            </w:pPr>
            <w:r>
              <w:rPr>
                <w:sz w:val="4"/>
                <w:szCs w:val="4"/>
              </w:rPr>
            </w:r>
          </w:p>
        </w:tc>
      </w:tr>
      <w:tr>
        <w:trPr/>
        <w:tc>
          <w:tcPr>
            <w:tcW w:w="1180" w:type="dxa"/>
            <w:tcBorders/>
          </w:tcPr>
          <w:p>
            <w:pPr>
              <w:pStyle w:val="TableContents"/>
              <w:bidi w:val="0"/>
              <w:spacing w:before="0" w:after="283"/>
              <w:jc w:val="left"/>
              <w:rPr>
                <w:sz w:val="20"/>
              </w:rPr>
            </w:pPr>
            <w:r>
              <w:rPr>
                <w:sz w:val="20"/>
              </w:rPr>
              <w:t>Title:</w:t>
            </w:r>
          </w:p>
        </w:tc>
        <w:tc>
          <w:tcPr>
            <w:tcW w:w="126" w:type="dxa"/>
            <w:tcBorders/>
            <w:vAlign w:val="bottom"/>
          </w:tcPr>
          <w:p>
            <w:pPr>
              <w:pStyle w:val="TableContents"/>
              <w:bidi w:val="0"/>
              <w:spacing w:before="0" w:after="283"/>
              <w:jc w:val="left"/>
              <w:rPr/>
            </w:pPr>
            <w:r>
              <w:rPr/>
              <w:t> </w:t>
            </w:r>
          </w:p>
        </w:tc>
        <w:tc>
          <w:tcPr>
            <w:tcW w:w="277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p>
    <w:p>
      <w:pPr>
        <w:pStyle w:val="TextBody"/>
        <w:bidi w:val="0"/>
        <w:spacing w:before="0" w:after="0"/>
        <w:jc w:val="right"/>
        <w:rPr>
          <w:rFonts w:ascii="Times New Roman" w:hAnsi="Times New Roman"/>
          <w:b/>
          <w:sz w:val="20"/>
        </w:rPr>
      </w:pPr>
      <w:bookmarkStart w:id="29" w:name="d398843dex51.htm"/>
      <w:bookmarkStart w:id="30" w:name="ksd398843dex51"/>
      <w:bookmarkEnd w:id="29"/>
      <w:bookmarkEnd w:id="30"/>
      <w:r>
        <w:rPr>
          <w:rFonts w:ascii="Times New Roman" w:hAnsi="Times New Roman"/>
          <w:b/>
          <w:sz w:val="20"/>
        </w:rPr>
        <w:t xml:space="preserve">Exhibit 5.1 </w:t>
      </w:r>
      <w:r>
        <w:br w:type="page"/>
      </w:r>
    </w:p>
    <w:p>
      <w:pPr>
        <w:pStyle w:val="TextBody"/>
        <w:bidi w:val="0"/>
        <w:spacing w:before="240" w:after="0"/>
        <w:jc w:val="center"/>
        <w:rPr>
          <w:rFonts w:ascii="Times New Roman" w:hAnsi="Times New Roman"/>
          <w:b/>
          <w:sz w:val="28"/>
        </w:rPr>
      </w:pPr>
      <w:r>
        <w:rPr>
          <w:rFonts w:ascii="Times New Roman" w:hAnsi="Times New Roman"/>
          <w:b/>
          <w:sz w:val="28"/>
        </w:rPr>
        <w:t xml:space="preserve">REEDER &amp; SIMPSON, P.C. </w:t>
      </w:r>
    </w:p>
    <w:p>
      <w:pPr>
        <w:pStyle w:val="TextBody"/>
        <w:bidi w:val="0"/>
        <w:spacing w:before="0" w:after="0"/>
        <w:jc w:val="center"/>
        <w:rPr>
          <w:rFonts w:ascii="Times New Roman" w:hAnsi="Times New Roman"/>
          <w:b/>
          <w:sz w:val="28"/>
        </w:rPr>
      </w:pPr>
      <w:r>
        <w:rPr>
          <w:rFonts w:ascii="Times New Roman" w:hAnsi="Times New Roman"/>
          <w:b/>
          <w:sz w:val="28"/>
        </w:rPr>
        <w:t xml:space="preserve">ATTORNEYS AT LAW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left"/>
              <w:rPr>
                <w:rFonts w:ascii="Times New Roman" w:hAnsi="Times New Roman"/>
                <w:b/>
                <w:sz w:val="20"/>
              </w:rPr>
            </w:pPr>
            <w:r>
              <w:rPr>
                <w:rFonts w:ascii="Times New Roman" w:hAnsi="Times New Roman"/>
                <w:b/>
                <w:sz w:val="20"/>
              </w:rPr>
              <w:t>P.O. Box 601</w:t>
            </w:r>
          </w:p>
          <w:p>
            <w:pPr>
              <w:pStyle w:val="TableContents"/>
              <w:bidi w:val="0"/>
              <w:spacing w:before="0" w:after="0"/>
              <w:jc w:val="left"/>
              <w:rPr>
                <w:rFonts w:ascii="Times New Roman" w:hAnsi="Times New Roman"/>
                <w:b/>
                <w:sz w:val="20"/>
              </w:rPr>
            </w:pPr>
            <w:r>
              <w:rPr>
                <w:rFonts w:ascii="Times New Roman" w:hAnsi="Times New Roman"/>
                <w:b/>
                <w:sz w:val="20"/>
              </w:rPr>
              <w:t>RRE Commercial Center</w:t>
            </w:r>
          </w:p>
          <w:p>
            <w:pPr>
              <w:pStyle w:val="TableContents"/>
              <w:bidi w:val="0"/>
              <w:spacing w:before="0" w:after="20"/>
              <w:jc w:val="left"/>
              <w:rPr>
                <w:rFonts w:ascii="Times New Roman" w:hAnsi="Times New Roman"/>
                <w:b/>
                <w:sz w:val="20"/>
              </w:rPr>
            </w:pPr>
            <w:r>
              <w:rPr>
                <w:rFonts w:ascii="Times New Roman" w:hAnsi="Times New Roman"/>
                <w:b/>
                <w:sz w:val="20"/>
              </w:rPr>
              <w:t>Majuro, MH 96960 - Marshall Islands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right"/>
              <w:rPr>
                <w:rFonts w:ascii="Times New Roman" w:hAnsi="Times New Roman"/>
                <w:b/>
                <w:sz w:val="20"/>
              </w:rPr>
            </w:pPr>
            <w:r>
              <w:rPr>
                <w:rFonts w:ascii="Times New Roman" w:hAnsi="Times New Roman"/>
                <w:b/>
                <w:sz w:val="20"/>
              </w:rPr>
              <w:t>RMI Tel.: +692-455-0560</w:t>
            </w:r>
          </w:p>
          <w:p>
            <w:pPr>
              <w:pStyle w:val="TableContents"/>
              <w:bidi w:val="0"/>
              <w:spacing w:before="0" w:after="0"/>
              <w:jc w:val="right"/>
              <w:rPr>
                <w:rFonts w:ascii="Times New Roman" w:hAnsi="Times New Roman"/>
                <w:b/>
                <w:sz w:val="20"/>
              </w:rPr>
            </w:pPr>
            <w:r>
              <w:rPr>
                <w:rFonts w:ascii="Times New Roman" w:hAnsi="Times New Roman"/>
                <w:b/>
                <w:sz w:val="20"/>
              </w:rPr>
              <w:t>Honolulu Tel.: +808-352-0749</w:t>
            </w:r>
          </w:p>
          <w:p>
            <w:pPr>
              <w:pStyle w:val="TableContents"/>
              <w:bidi w:val="0"/>
              <w:spacing w:before="0" w:after="20"/>
              <w:jc w:val="right"/>
              <w:rPr>
                <w:rFonts w:ascii="Times New Roman" w:hAnsi="Times New Roman"/>
                <w:b/>
                <w:sz w:val="20"/>
              </w:rPr>
            </w:pPr>
            <w:r>
              <w:rPr>
                <w:rFonts w:ascii="Times New Roman" w:hAnsi="Times New Roman"/>
                <w:b/>
                <w:sz w:val="20"/>
              </w:rPr>
              <w:t xml:space="preserve">Email: </w:t>
            </w:r>
            <w:r>
              <w:rPr>
                <w:rFonts w:ascii="Times New Roman" w:hAnsi="Times New Roman"/>
                <w:b/>
                <w:sz w:val="20"/>
                <w:u w:val="single"/>
              </w:rPr>
              <w:t>dreeder.rmi@gmail.com</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May 11, 2023 </w:t>
      </w:r>
    </w:p>
    <w:p>
      <w:pPr>
        <w:pStyle w:val="TextBody"/>
        <w:bidi w:val="0"/>
        <w:spacing w:before="240" w:after="0"/>
        <w:jc w:val="left"/>
        <w:rPr>
          <w:rFonts w:ascii="Times New Roman" w:hAnsi="Times New Roman"/>
          <w:sz w:val="20"/>
        </w:rPr>
      </w:pPr>
      <w:r>
        <w:rPr>
          <w:rFonts w:ascii="Times New Roman" w:hAnsi="Times New Roman"/>
          <w:sz w:val="20"/>
        </w:rPr>
        <w:t xml:space="preserve">Navios Maritime Partners L.P. </w:t>
      </w:r>
    </w:p>
    <w:p>
      <w:pPr>
        <w:pStyle w:val="TextBody"/>
        <w:bidi w:val="0"/>
        <w:spacing w:before="0" w:after="0"/>
        <w:jc w:val="left"/>
        <w:rPr>
          <w:rFonts w:ascii="Times New Roman" w:hAnsi="Times New Roman"/>
          <w:sz w:val="20"/>
        </w:rPr>
      </w:pPr>
      <w:r>
        <w:rPr>
          <w:rFonts w:ascii="Times New Roman" w:hAnsi="Times New Roman"/>
          <w:sz w:val="20"/>
        </w:rPr>
        <w:t xml:space="preserve">7, Avenue de Grande Bretagne, Office 11B2 </w:t>
      </w:r>
    </w:p>
    <w:p>
      <w:pPr>
        <w:pStyle w:val="TextBody"/>
        <w:bidi w:val="0"/>
        <w:spacing w:before="0" w:after="0"/>
        <w:jc w:val="left"/>
        <w:rPr>
          <w:rFonts w:ascii="Times New Roman" w:hAnsi="Times New Roman"/>
          <w:sz w:val="20"/>
        </w:rPr>
      </w:pPr>
      <w:r>
        <w:rPr>
          <w:rFonts w:ascii="Times New Roman" w:hAnsi="Times New Roman"/>
          <w:sz w:val="20"/>
        </w:rPr>
        <w:t xml:space="preserve">MC 98000 Monaco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u w:val="single"/>
              </w:rPr>
            </w:pPr>
            <w:r>
              <w:rPr>
                <w:b/>
                <w:u w:val="single"/>
              </w:rPr>
              <w:t>Re:</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Navios Maritime Partners L.P. Registration Statement on Form F-3</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special Marshall Islands counsel to Navios Maritime Partners L.P., a Marshall Islands limited partnership (the </w:t>
      </w:r>
      <w:r>
        <w:rPr>
          <w:rFonts w:ascii="Times New Roman" w:hAnsi="Times New Roman"/>
          <w:b/>
          <w:i/>
          <w:sz w:val="20"/>
        </w:rPr>
        <w:t>Partnership</w:t>
      </w:r>
      <w:r>
        <w:rPr>
          <w:rFonts w:ascii="Times New Roman" w:hAnsi="Times New Roman"/>
          <w:sz w:val="20"/>
        </w:rPr>
        <w:t>), in connection with the preparation and filing with the U.S. Securities and Exchange Commission of a Registration Statement on Form F-3 (the </w:t>
      </w:r>
      <w:r>
        <w:rPr>
          <w:rFonts w:ascii="Times New Roman" w:hAnsi="Times New Roman"/>
          <w:b/>
          <w:i/>
          <w:sz w:val="20"/>
        </w:rPr>
        <w:t>Registration Statement</w:t>
      </w:r>
      <w:r>
        <w:rPr>
          <w:rFonts w:ascii="Times New Roman" w:hAnsi="Times New Roman"/>
          <w:sz w:val="20"/>
        </w:rPr>
        <w:t>), pursuant to which the Partnership is registering under the Securities Act of 1933, as amended (the </w:t>
      </w:r>
      <w:r>
        <w:rPr>
          <w:rFonts w:ascii="Times New Roman" w:hAnsi="Times New Roman"/>
          <w:b/>
          <w:i/>
          <w:sz w:val="20"/>
        </w:rPr>
        <w:t>Securities</w:t>
      </w:r>
      <w:r>
        <w:rPr>
          <w:rFonts w:ascii="Times New Roman" w:hAnsi="Times New Roman"/>
          <w:sz w:val="20"/>
        </w:rPr>
        <w:t xml:space="preserve"> </w:t>
      </w:r>
      <w:r>
        <w:rPr>
          <w:rFonts w:ascii="Times New Roman" w:hAnsi="Times New Roman"/>
          <w:b/>
          <w:i/>
          <w:sz w:val="20"/>
        </w:rPr>
        <w:t>Act</w:t>
      </w:r>
      <w:r>
        <w:rPr>
          <w:rFonts w:ascii="Times New Roman" w:hAnsi="Times New Roman"/>
          <w:sz w:val="20"/>
        </w:rPr>
        <w:t xml:space="preserv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common units, representing limited partnership interests (</w:t>
            </w:r>
            <w:r>
              <w:rPr>
                <w:rFonts w:ascii="Times New Roman" w:hAnsi="Times New Roman"/>
                <w:b/>
                <w:i/>
                <w:sz w:val="20"/>
              </w:rPr>
              <w:t>Common Units</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debt securities (the </w:t>
            </w:r>
            <w:r>
              <w:rPr>
                <w:rFonts w:ascii="Times New Roman" w:hAnsi="Times New Roman"/>
                <w:b/>
                <w:i/>
                <w:sz w:val="20"/>
              </w:rPr>
              <w:t>Debt Securities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some or all of which may be issued, in any combination of the above, from time to time on a delayed or continuous basis pursuant to Rule 415 under the Securities Act, at an aggregate public offering price not to exceed US$500,000,000.00. The Common Units and the Debt Securities are collectively referred to herein as the </w:t>
      </w:r>
      <w:r>
        <w:rPr>
          <w:rFonts w:ascii="Times New Roman" w:hAnsi="Times New Roman"/>
          <w:b/>
          <w:i/>
          <w:sz w:val="20"/>
        </w:rPr>
        <w:t>Offered Securities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Debt Securities may be issued pursuant to an Indenture between the Partnership and a trustee to be named in such Indenture (the </w:t>
      </w:r>
      <w:r>
        <w:rPr>
          <w:rFonts w:ascii="Times New Roman" w:hAnsi="Times New Roman"/>
          <w:b/>
          <w:i/>
          <w:sz w:val="20"/>
        </w:rPr>
        <w:t>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connection with this opinion, we have examined such documents as may be required to issue this opinion including the Partnerships operational documentation and certain resolutions adopted by the Partnerships Board of Directors (the </w:t>
      </w:r>
      <w:r>
        <w:rPr>
          <w:rFonts w:ascii="Times New Roman" w:hAnsi="Times New Roman"/>
          <w:b/>
          <w:i/>
          <w:sz w:val="20"/>
        </w:rPr>
        <w:t>Board of Directors</w:t>
      </w:r>
      <w:r>
        <w:rPr>
          <w:rFonts w:ascii="Times New Roman" w:hAnsi="Times New Roman"/>
          <w:sz w:val="20"/>
        </w:rPr>
        <w:t xml:space="preserve">), relating to the registration of the Offered Securities and such other documents or records of the proceedings of the Partnership as we have deemed relevant, and the Registration Statement and the exhibits thereto. </w:t>
      </w:r>
    </w:p>
    <w:p>
      <w:pPr>
        <w:pStyle w:val="TextBody"/>
        <w:bidi w:val="0"/>
        <w:spacing w:before="240" w:after="0"/>
        <w:jc w:val="left"/>
        <w:rPr>
          <w:rFonts w:ascii="Times New Roman" w:hAnsi="Times New Roman"/>
          <w:sz w:val="20"/>
        </w:rPr>
      </w:pPr>
      <w:r>
        <w:rPr>
          <w:rFonts w:ascii="Times New Roman" w:hAnsi="Times New Roman"/>
          <w:sz w:val="20"/>
        </w:rPr>
        <w:t xml:space="preserve">In our examination, we have assumed the genuineness of all signatures, the legal capacity of natural persons, the authenticity of all documents submitted to us as originals, the conformity to original documents of all documents submitted to us as certified, photostatic or facsimile copies and the authenticity of the originals of such copies.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upon the foregoing, we are of the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With respect to the Common Units, including those duly issued upon due conversion or exchange of any Debt Securities, when (i) specifically authorized for issuance by the Partnerships Board of Directors or an authorized committee thereof (the </w:t>
            </w:r>
            <w:r>
              <w:rPr>
                <w:rFonts w:ascii="Times New Roman" w:hAnsi="Times New Roman"/>
                <w:b/>
                <w:i/>
                <w:sz w:val="20"/>
              </w:rPr>
              <w:t>Common Units Authorizing Resolutions</w:t>
            </w:r>
            <w:r>
              <w:rPr>
                <w:rFonts w:ascii="Times New Roman" w:hAnsi="Times New Roman"/>
                <w:sz w:val="20"/>
              </w:rPr>
              <w:t>), (ii) the Registration Statement has become effective under the Securities Act, (iii) the terms of the sale of the Common Units have been duly established in conformity with the Partnerships Third Amended and Restated Agreement of Limited Partnership of the Partnership (the </w:t>
            </w:r>
            <w:r>
              <w:rPr>
                <w:rFonts w:ascii="Times New Roman" w:hAnsi="Times New Roman"/>
                <w:b/>
                <w:i/>
                <w:sz w:val="20"/>
              </w:rPr>
              <w:t>Partnership</w:t>
            </w:r>
            <w:r>
              <w:rPr>
                <w:rFonts w:ascii="Times New Roman" w:hAnsi="Times New Roman"/>
                <w:sz w:val="20"/>
              </w:rPr>
              <w:t xml:space="preserve"> </w:t>
            </w:r>
            <w:r>
              <w:rPr>
                <w:rFonts w:ascii="Times New Roman" w:hAnsi="Times New Roman"/>
                <w:b/>
                <w:i/>
                <w:sz w:val="20"/>
              </w:rPr>
              <w:t>Agreement</w:t>
            </w:r>
            <w:r>
              <w:rPr>
                <w:rFonts w:ascii="Times New Roman" w:hAnsi="Times New Roman"/>
                <w:sz w:val="20"/>
              </w:rPr>
              <w:t xml:space="preserve">) and do not violate any applicable law or result in a default under or breach of any agreement or instrument binding on the Partnership and comply with any requirement or restriction imposed by any court or governmental body having jurisdiction over the Partnership, (iv) the Common Units have been issued and sold as contemplated by the Registration Statement, and (v) the Partnership has received the consideration provided for in the Common Units Authorizing Resolutions, the Common Units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With respect to the Debt Securities, when (i) specifically authorized for issuance by the Partnerships Board of Directors or an authorized committee thereof (the </w:t>
            </w:r>
            <w:r>
              <w:rPr>
                <w:rFonts w:ascii="Times New Roman" w:hAnsi="Times New Roman"/>
                <w:b/>
                <w:i/>
                <w:sz w:val="20"/>
              </w:rPr>
              <w:t>Debt Securities Authorizing Resolutions</w:t>
            </w:r>
            <w:r>
              <w:rPr>
                <w:rFonts w:ascii="Times New Roman" w:hAnsi="Times New Roman"/>
                <w:sz w:val="20"/>
              </w:rPr>
              <w:t xml:space="preserve">), (ii) the Registration Statement has become effective under the Securities Act, (iii) the terms of the Debt Securities and of their issue and sale have been duly established in conformity with the applicable Indenture and do not violate any applicable law or result in a default under or breach of any agreement or instrument binding upon the Partnership and comply with any requirement or restriction imposed by any court or governmental body having jurisdiction over the Partnership, (iv) such Debt Securities have been duly executed and authenticated in accordance with the applicable Indenture and issued and sold as contemplated in the Registration Statement, and (v) the Partnership has received the consideration provided for in the Debt Securities Authorizing Resolutions, such Debt Securities will constitute valid and legally binding obligations of the Partnership, subject to bankruptcy, insolvency, fraudulent transfer, reorganization, moratorium, and similar laws of general applicability relating to or affecting creditors rights and to general equity principles.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opinion is limited to the Limited Partnership laws of the Republic of the Marshall Islands, and we express no opinion with respect to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We have relied as to certain matters on information obtained from public officials, officers of the Partnership, and other sources believed by us to be responsible, and we have assumed that the Indentures will be duly authorized, executed, and delivered by the respective trustees thereunder, an assumption which we have not independently verified.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this opinion is to be used only in connection with the offer and sale of Common Units and Debt Securities while the Registration Statement is in effect.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understand that you wish to file this opinion as an exhibit to the Registration Statement, and we hereby consent thereto. We hereby consent to the filing of this opinion as part of the Registration Statement and the reference to this firm in the section of the Registration Statement entitled Legal Matters. This consent is not to be construed as an admission that we are a party whose consent is required to be filed as part of the Registration Statement under the provisions of the Securities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Sincerely,</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\s\ Reeder &amp; Simpson, P.C.</w:t>
            </w:r>
          </w:p>
          <w:p>
            <w:pPr>
              <w:pStyle w:val="TableContents"/>
              <w:bidi w:val="0"/>
              <w:spacing w:before="0" w:after="0"/>
              <w:jc w:val="left"/>
              <w:rPr>
                <w:rFonts w:ascii="Times New Roman" w:hAnsi="Times New Roman"/>
                <w:sz w:val="20"/>
              </w:rPr>
            </w:pPr>
            <w:r>
              <w:rPr>
                <w:rFonts w:ascii="Times New Roman" w:hAnsi="Times New Roman"/>
                <w:sz w:val="20"/>
              </w:rPr>
              <w:t>Reeder &amp; Simpson, P.C.</w:t>
            </w:r>
          </w:p>
          <w:p>
            <w:pPr>
              <w:pStyle w:val="TableContents"/>
              <w:bidi w:val="0"/>
              <w:spacing w:before="0" w:after="20"/>
              <w:jc w:val="left"/>
              <w:rPr>
                <w:rFonts w:ascii="Times New Roman" w:hAnsi="Times New Roman"/>
                <w:sz w:val="20"/>
              </w:rPr>
            </w:pPr>
            <w:r>
              <w:rPr>
                <w:rFonts w:ascii="Times New Roman" w:hAnsi="Times New Roman"/>
                <w:sz w:val="20"/>
              </w:rPr>
              <w:t>Dennis J. Reeder</w:t>
            </w:r>
          </w:p>
        </w:tc>
      </w:tr>
    </w:tbl>
    <w:p>
      <w:pPr>
        <w:pStyle w:val="TextBody"/>
        <w:bidi w:val="0"/>
        <w:spacing w:before="0" w:after="0"/>
        <w:jc w:val="right"/>
        <w:rPr/>
      </w:pPr>
      <w:bookmarkStart w:id="31" w:name="d398843dex52.htm"/>
      <w:bookmarkStart w:id="32" w:name="ksd398843dex52"/>
      <w:bookmarkEnd w:id="31"/>
      <w:bookmarkEnd w:id="32"/>
      <w:r>
        <w:rPr/>
        <w:drawing>
          <wp:inline distT="0" distB="0" distL="0" distR="0">
            <wp:extent cx="5924550" cy="619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5924550" cy="619125"/>
                    </a:xfrm>
                    <a:prstGeom prst="rect">
                      <a:avLst/>
                    </a:prstGeom>
                  </pic:spPr>
                </pic:pic>
              </a:graphicData>
            </a:graphic>
          </wp:inline>
        </w:drawing>
      </w:r>
      <w:r>
        <w:rPr/>
        <w:t xml:space="preserve"> </w:t>
      </w:r>
      <w:r>
        <w:br w:type="page"/>
      </w:r>
    </w:p>
    <w:p>
      <w:pPr>
        <w:pStyle w:val="TextBody"/>
        <w:bidi w:val="0"/>
        <w:spacing w:before="0" w:after="0"/>
        <w:jc w:val="right"/>
        <w:rPr>
          <w:rFonts w:ascii="Times New Roman" w:hAnsi="Times New Roman"/>
          <w:b/>
          <w:sz w:val="20"/>
        </w:rPr>
      </w:pPr>
      <w:r>
        <w:rPr>
          <w:rFonts w:ascii="Times New Roman" w:hAnsi="Times New Roman"/>
          <w:b/>
          <w:sz w:val="20"/>
        </w:rPr>
        <w:t xml:space="preserve">Exhibit 5.2 </w:t>
      </w:r>
    </w:p>
    <w:p>
      <w:pPr>
        <w:pStyle w:val="TextBody"/>
        <w:bidi w:val="0"/>
        <w:spacing w:before="360" w:after="0"/>
        <w:jc w:val="left"/>
        <w:rPr>
          <w:rFonts w:ascii="Times New Roman" w:hAnsi="Times New Roman"/>
          <w:sz w:val="20"/>
        </w:rPr>
      </w:pPr>
      <w:r>
        <w:rPr>
          <w:rFonts w:ascii="Times New Roman" w:hAnsi="Times New Roman"/>
          <w:sz w:val="20"/>
        </w:rPr>
        <w:t xml:space="preserve">May 11, 2023 </w:t>
      </w:r>
    </w:p>
    <w:p>
      <w:pPr>
        <w:pStyle w:val="TextBody"/>
        <w:bidi w:val="0"/>
        <w:spacing w:before="240" w:after="0"/>
        <w:jc w:val="left"/>
        <w:rPr>
          <w:rFonts w:ascii="Times New Roman" w:hAnsi="Times New Roman"/>
          <w:sz w:val="20"/>
        </w:rPr>
      </w:pPr>
      <w:r>
        <w:rPr>
          <w:rFonts w:ascii="Times New Roman" w:hAnsi="Times New Roman"/>
          <w:sz w:val="20"/>
        </w:rPr>
        <w:t xml:space="preserve">Navios Maritime Partners L.P. </w:t>
      </w:r>
    </w:p>
    <w:p>
      <w:pPr>
        <w:pStyle w:val="TextBody"/>
        <w:bidi w:val="0"/>
        <w:spacing w:before="0" w:after="0"/>
        <w:jc w:val="left"/>
        <w:rPr>
          <w:rFonts w:ascii="Times New Roman" w:hAnsi="Times New Roman"/>
          <w:sz w:val="20"/>
        </w:rPr>
      </w:pPr>
      <w:r>
        <w:rPr>
          <w:rFonts w:ascii="Times New Roman" w:hAnsi="Times New Roman"/>
          <w:sz w:val="20"/>
        </w:rPr>
        <w:t xml:space="preserve">7, Avenue de Grande Bretagne, Office 11B2 </w:t>
      </w:r>
    </w:p>
    <w:p>
      <w:pPr>
        <w:pStyle w:val="TextBody"/>
        <w:bidi w:val="0"/>
        <w:spacing w:before="0" w:after="0"/>
        <w:jc w:val="left"/>
        <w:rPr>
          <w:rFonts w:ascii="Times New Roman" w:hAnsi="Times New Roman"/>
          <w:sz w:val="20"/>
        </w:rPr>
      </w:pPr>
      <w:r>
        <w:rPr>
          <w:rFonts w:ascii="Times New Roman" w:hAnsi="Times New Roman"/>
          <w:sz w:val="20"/>
        </w:rPr>
        <w:t xml:space="preserve">MC 98000 Monaco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Navios Maritime Partners L.P. Registration Statement on Form F-3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special United States and New York counsel to Navios Maritime Partners L.P., a Marshall Islands limited partnership (the </w:t>
      </w:r>
      <w:r>
        <w:rPr>
          <w:rFonts w:ascii="Times New Roman" w:hAnsi="Times New Roman"/>
          <w:i/>
          <w:sz w:val="20"/>
        </w:rPr>
        <w:t>Partnership</w:t>
      </w:r>
      <w:r>
        <w:rPr>
          <w:rFonts w:ascii="Times New Roman" w:hAnsi="Times New Roman"/>
          <w:sz w:val="20"/>
        </w:rPr>
        <w:t>), in connection with the preparation and filing with the United States Securities and Exchange Commission (the </w:t>
      </w:r>
      <w:r>
        <w:rPr>
          <w:rFonts w:ascii="Times New Roman" w:hAnsi="Times New Roman"/>
          <w:i/>
          <w:sz w:val="20"/>
        </w:rPr>
        <w:t>Commission</w:t>
      </w:r>
      <w:r>
        <w:rPr>
          <w:rFonts w:ascii="Times New Roman" w:hAnsi="Times New Roman"/>
          <w:sz w:val="20"/>
        </w:rPr>
        <w:t>) under the Securities Act of 1933, as amended (the </w:t>
      </w:r>
      <w:r>
        <w:rPr>
          <w:rFonts w:ascii="Times New Roman" w:hAnsi="Times New Roman"/>
          <w:i/>
          <w:sz w:val="20"/>
        </w:rPr>
        <w:t>Act</w:t>
      </w:r>
      <w:r>
        <w:rPr>
          <w:rFonts w:ascii="Times New Roman" w:hAnsi="Times New Roman"/>
          <w:sz w:val="20"/>
        </w:rPr>
        <w:t>), of a Registration Statement on Form F-3 (the </w:t>
      </w:r>
      <w:r>
        <w:rPr>
          <w:rFonts w:ascii="Times New Roman" w:hAnsi="Times New Roman"/>
          <w:i/>
          <w:sz w:val="20"/>
        </w:rPr>
        <w:t>Registration Statement</w:t>
      </w:r>
      <w:r>
        <w:rPr>
          <w:rFonts w:ascii="Times New Roman" w:hAnsi="Times New Roman"/>
          <w:sz w:val="20"/>
        </w:rPr>
        <w:t>) covering an aggregate amount of $500,000,000 of the Partnerships securities referenced therein (the </w:t>
      </w:r>
      <w:r>
        <w:rPr>
          <w:rFonts w:ascii="Times New Roman" w:hAnsi="Times New Roman"/>
          <w:i/>
          <w:sz w:val="20"/>
        </w:rPr>
        <w:t>Securities</w:t>
      </w:r>
      <w:r>
        <w:rPr>
          <w:rFonts w:ascii="Times New Roman" w:hAnsi="Times New Roman"/>
          <w:sz w:val="20"/>
        </w:rPr>
        <w:t>), including one or more series of debt securities of the Partnership, which may be either senior, subordinated or subordinated debt securities (the </w:t>
      </w:r>
      <w:r>
        <w:rPr>
          <w:rFonts w:ascii="Times New Roman" w:hAnsi="Times New Roman"/>
          <w:i/>
          <w:sz w:val="20"/>
        </w:rPr>
        <w:t>Debt Securities</w:t>
      </w:r>
      <w:r>
        <w:rPr>
          <w:rFonts w:ascii="Times New Roman" w:hAnsi="Times New Roman"/>
          <w:sz w:val="20"/>
        </w:rPr>
        <w:t>). The Securities may be issued and sold from time to time by the Partnership after the Registration Statement, to which this opinion is an exhibit, becomes effective. The Debt Securities may be issued pursuant to an indenture by and between the Partnership and a financial institution to be identified therein as trustee (the </w:t>
      </w:r>
      <w:r>
        <w:rPr>
          <w:rFonts w:ascii="Times New Roman" w:hAnsi="Times New Roman"/>
          <w:i/>
          <w:sz w:val="20"/>
        </w:rPr>
        <w:t>Trustee</w:t>
      </w:r>
      <w:r>
        <w:rPr>
          <w:rFonts w:ascii="Times New Roman" w:hAnsi="Times New Roman"/>
          <w:sz w:val="20"/>
        </w:rPr>
        <w:t>), a form of which is included as Exhibit 4.1 to the Registration Statement, as it may be supplemented from time to time (the </w:t>
      </w:r>
      <w:r>
        <w:rPr>
          <w:rFonts w:ascii="Times New Roman" w:hAnsi="Times New Roman"/>
          <w:i/>
          <w:sz w:val="20"/>
        </w:rPr>
        <w:t>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so acting, we have examined the Registration Statement, the Indenture and such other corporate records, documents, certificates and other instruments as we considered necessary or appropriate for the purposes of this opinion. </w:t>
      </w:r>
    </w:p>
    <w:p>
      <w:pPr>
        <w:pStyle w:val="TextBody"/>
        <w:bidi w:val="0"/>
        <w:spacing w:before="240" w:after="0"/>
        <w:jc w:val="left"/>
        <w:rPr>
          <w:rFonts w:ascii="Times New Roman" w:hAnsi="Times New Roman"/>
          <w:sz w:val="20"/>
        </w:rPr>
      </w:pPr>
      <w:r>
        <w:rPr>
          <w:rFonts w:ascii="Times New Roman" w:hAnsi="Times New Roman"/>
          <w:sz w:val="20"/>
        </w:rPr>
        <w:t xml:space="preserve">Upon (i) the taking of appropriate action by the Partnership to approve the issuance and terms of the Debt Securities, the terms of the offering thereof and of the Indenture and related matters, (ii) the effectiveness of the Registration Statement, (iii) the due execution and delivery by the parties thereto of the Indenture, (iv) the qualification of the Indenture under the Trust Indenture Act of 1939, as amended, (v) the due execution of the Debt Securities on behalf of the Partnership, (vi) the due authentication of the Debt Securities by the relevant trustee under the Indenture and (vii) the sale and delivery at the price and in accordance with the terms set forth in the Registration Statement and the supplement or supplements to the prospectus included therein, the Debt Securities will constitute valid and legally binding obligations of the Partnership, entitled to the benefits of the Indenture, subject to bankruptcy, insolvency, fraudulent transfer, reorganization, moratorium and similar laws of general applicability relating to or affecting creditors rights and to general equity principles regardless of whether such enforceability is considered in a proceeding of law or equity.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being furnished in accordance with the requirements of Item 601(b)(5) of Regulation S-K under the Act. This opinion is expressly limited to the matters set forth above, and we render no opinion, whether by implication or otherwise, as to any other matters. This opinion is limited to the laws of the State of New York, and we are expressing no opinion as to the effect of the laws of any other jurisdiction. This opinion speaks as of the date hereof, and we assume no obligation to advise you of facts, circumstances, events or developments which hereafter may be brought to our attention and which may alter, affect or modify the opinion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and to the reference to us under the heading Legal Matters in the Registration Statement. In giving this consent, we do not thereby admit that we are included in the category of persons whose consent is required under Section 7(a) of the Act or the rules and regulations of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THOMPSON HINE LLP </w:t>
      </w:r>
    </w:p>
    <w:p>
      <w:pPr>
        <w:pStyle w:val="TextBody"/>
        <w:bidi w:val="0"/>
        <w:spacing w:before="240" w:after="0"/>
        <w:jc w:val="left"/>
        <w:rPr>
          <w:rFonts w:ascii="Times New Roman" w:hAnsi="Times New Roman"/>
          <w:sz w:val="20"/>
        </w:rPr>
      </w:pPr>
      <w:r>
        <w:rPr>
          <w:rFonts w:ascii="Times New Roman" w:hAnsi="Times New Roman"/>
          <w:sz w:val="20"/>
        </w:rPr>
        <w:t xml:space="preserve">THOMPSON HINE LLP </w:t>
      </w:r>
    </w:p>
    <w:p>
      <w:pPr>
        <w:pStyle w:val="TextBody"/>
        <w:bidi w:val="0"/>
        <w:spacing w:before="0" w:after="0"/>
        <w:jc w:val="left"/>
        <w:rPr/>
      </w:pPr>
      <w:r>
        <w:rPr/>
        <w:t> </w:t>
      </w:r>
    </w:p>
    <w:p>
      <w:pPr>
        <w:pStyle w:val="TextBody"/>
        <w:bidi w:val="0"/>
        <w:spacing w:before="0" w:after="0"/>
        <w:jc w:val="center"/>
        <w:rPr/>
      </w:pPr>
      <w:r>
        <w:rPr/>
        <w:drawing>
          <wp:inline distT="0" distB="0" distL="0" distR="0">
            <wp:extent cx="5915025"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5915025" cy="466725"/>
                    </a:xfrm>
                    <a:prstGeom prst="rect">
                      <a:avLst/>
                    </a:prstGeom>
                  </pic:spPr>
                </pic:pic>
              </a:graphicData>
            </a:graphic>
          </wp:inline>
        </w:drawing>
      </w:r>
      <w:r>
        <w:rPr/>
        <w:t xml:space="preserve"> </w:t>
      </w:r>
    </w:p>
    <w:p>
      <w:pPr>
        <w:pStyle w:val="TextBody"/>
        <w:bidi w:val="0"/>
        <w:spacing w:before="0" w:after="0"/>
        <w:jc w:val="right"/>
        <w:rPr>
          <w:rFonts w:ascii="Times New Roman" w:hAnsi="Times New Roman"/>
          <w:b/>
          <w:sz w:val="20"/>
        </w:rPr>
      </w:pPr>
      <w:bookmarkStart w:id="33" w:name="d398843dex81.htm"/>
      <w:bookmarkStart w:id="34" w:name="ksd398843dex81"/>
      <w:bookmarkEnd w:id="33"/>
      <w:bookmarkEnd w:id="34"/>
      <w:r>
        <w:rPr>
          <w:rFonts w:ascii="Times New Roman" w:hAnsi="Times New Roman"/>
          <w:b/>
          <w:sz w:val="20"/>
        </w:rPr>
        <w:t xml:space="preserve">Exhibit 8.1 </w:t>
      </w:r>
      <w:r>
        <w:br w:type="page"/>
      </w:r>
    </w:p>
    <w:p>
      <w:pPr>
        <w:pStyle w:val="TextBody"/>
        <w:bidi w:val="0"/>
        <w:spacing w:before="240" w:after="0"/>
        <w:jc w:val="center"/>
        <w:rPr>
          <w:rFonts w:ascii="Times New Roman" w:hAnsi="Times New Roman"/>
          <w:b/>
          <w:sz w:val="28"/>
        </w:rPr>
      </w:pPr>
      <w:r>
        <w:rPr>
          <w:rFonts w:ascii="Times New Roman" w:hAnsi="Times New Roman"/>
          <w:b/>
          <w:sz w:val="28"/>
        </w:rPr>
        <w:t xml:space="preserve">REEDER &amp; SIMPSON, P.C. </w:t>
      </w:r>
    </w:p>
    <w:p>
      <w:pPr>
        <w:pStyle w:val="TextBody"/>
        <w:bidi w:val="0"/>
        <w:spacing w:before="0" w:after="0"/>
        <w:jc w:val="center"/>
        <w:rPr>
          <w:rFonts w:ascii="Times New Roman" w:hAnsi="Times New Roman"/>
          <w:b/>
          <w:sz w:val="28"/>
        </w:rPr>
      </w:pPr>
      <w:r>
        <w:rPr>
          <w:rFonts w:ascii="Times New Roman" w:hAnsi="Times New Roman"/>
          <w:b/>
          <w:sz w:val="28"/>
        </w:rPr>
        <w:t xml:space="preserve">ATTORNEYS AT LAW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left"/>
              <w:rPr>
                <w:rFonts w:ascii="Times New Roman" w:hAnsi="Times New Roman"/>
                <w:b/>
                <w:sz w:val="20"/>
              </w:rPr>
            </w:pPr>
            <w:r>
              <w:rPr>
                <w:rFonts w:ascii="Times New Roman" w:hAnsi="Times New Roman"/>
                <w:b/>
                <w:sz w:val="20"/>
              </w:rPr>
              <w:t>P.O. Box 601</w:t>
            </w:r>
          </w:p>
          <w:p>
            <w:pPr>
              <w:pStyle w:val="TableContents"/>
              <w:bidi w:val="0"/>
              <w:spacing w:before="0" w:after="0"/>
              <w:jc w:val="left"/>
              <w:rPr>
                <w:rFonts w:ascii="Times New Roman" w:hAnsi="Times New Roman"/>
                <w:b/>
                <w:sz w:val="20"/>
              </w:rPr>
            </w:pPr>
            <w:r>
              <w:rPr>
                <w:rFonts w:ascii="Times New Roman" w:hAnsi="Times New Roman"/>
                <w:b/>
                <w:sz w:val="20"/>
              </w:rPr>
              <w:t>RRE Commercial Center</w:t>
            </w:r>
          </w:p>
          <w:p>
            <w:pPr>
              <w:pStyle w:val="TableContents"/>
              <w:bidi w:val="0"/>
              <w:spacing w:before="0" w:after="20"/>
              <w:jc w:val="left"/>
              <w:rPr>
                <w:rFonts w:ascii="Times New Roman" w:hAnsi="Times New Roman"/>
                <w:b/>
                <w:sz w:val="20"/>
              </w:rPr>
            </w:pPr>
            <w:r>
              <w:rPr>
                <w:rFonts w:ascii="Times New Roman" w:hAnsi="Times New Roman"/>
                <w:b/>
                <w:sz w:val="20"/>
              </w:rPr>
              <w:t>Majuro, MH 96960 - Marshall Islands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right"/>
              <w:rPr>
                <w:rFonts w:ascii="Times New Roman" w:hAnsi="Times New Roman"/>
                <w:b/>
                <w:sz w:val="20"/>
              </w:rPr>
            </w:pPr>
            <w:r>
              <w:rPr>
                <w:rFonts w:ascii="Times New Roman" w:hAnsi="Times New Roman"/>
                <w:b/>
                <w:sz w:val="20"/>
              </w:rPr>
              <w:t>RMI Tel.: +692-455-0560</w:t>
            </w:r>
          </w:p>
          <w:p>
            <w:pPr>
              <w:pStyle w:val="TableContents"/>
              <w:bidi w:val="0"/>
              <w:spacing w:before="0" w:after="0"/>
              <w:jc w:val="right"/>
              <w:rPr>
                <w:rFonts w:ascii="Times New Roman" w:hAnsi="Times New Roman"/>
                <w:b/>
                <w:sz w:val="20"/>
              </w:rPr>
            </w:pPr>
            <w:r>
              <w:rPr>
                <w:rFonts w:ascii="Times New Roman" w:hAnsi="Times New Roman"/>
                <w:b/>
                <w:sz w:val="20"/>
              </w:rPr>
              <w:t>Honolulu Tel.: +808-352-0749</w:t>
            </w:r>
          </w:p>
          <w:p>
            <w:pPr>
              <w:pStyle w:val="TableContents"/>
              <w:bidi w:val="0"/>
              <w:spacing w:before="0" w:after="20"/>
              <w:jc w:val="right"/>
              <w:rPr>
                <w:rFonts w:ascii="Times New Roman" w:hAnsi="Times New Roman"/>
                <w:b/>
                <w:sz w:val="20"/>
              </w:rPr>
            </w:pPr>
            <w:r>
              <w:rPr>
                <w:rFonts w:ascii="Times New Roman" w:hAnsi="Times New Roman"/>
                <w:b/>
                <w:sz w:val="20"/>
              </w:rPr>
              <w:t xml:space="preserve">Email: </w:t>
            </w:r>
            <w:r>
              <w:rPr>
                <w:rFonts w:ascii="Times New Roman" w:hAnsi="Times New Roman"/>
                <w:b/>
                <w:sz w:val="20"/>
                <w:u w:val="single"/>
              </w:rPr>
              <w:t>dreeder.rmi@gmail.com</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May 11, 2023 </w:t>
      </w:r>
    </w:p>
    <w:p>
      <w:pPr>
        <w:pStyle w:val="TextBody"/>
        <w:bidi w:val="0"/>
        <w:spacing w:before="240" w:after="0"/>
        <w:jc w:val="left"/>
        <w:rPr>
          <w:rFonts w:ascii="Times New Roman" w:hAnsi="Times New Roman"/>
          <w:sz w:val="20"/>
        </w:rPr>
      </w:pPr>
      <w:r>
        <w:rPr>
          <w:rFonts w:ascii="Times New Roman" w:hAnsi="Times New Roman"/>
          <w:sz w:val="20"/>
        </w:rPr>
        <w:t xml:space="preserve">Navios Maritime Partners L.P. </w:t>
      </w:r>
    </w:p>
    <w:p>
      <w:pPr>
        <w:pStyle w:val="TextBody"/>
        <w:bidi w:val="0"/>
        <w:spacing w:before="0" w:after="0"/>
        <w:jc w:val="left"/>
        <w:rPr>
          <w:rFonts w:ascii="Times New Roman" w:hAnsi="Times New Roman"/>
          <w:sz w:val="20"/>
        </w:rPr>
      </w:pPr>
      <w:r>
        <w:rPr>
          <w:rFonts w:ascii="Times New Roman" w:hAnsi="Times New Roman"/>
          <w:sz w:val="20"/>
        </w:rPr>
        <w:t xml:space="preserve">7, Avenue de Grande Bretagne, Office 11B2 </w:t>
      </w:r>
    </w:p>
    <w:p>
      <w:pPr>
        <w:pStyle w:val="TextBody"/>
        <w:bidi w:val="0"/>
        <w:spacing w:before="0" w:after="0"/>
        <w:jc w:val="left"/>
        <w:rPr>
          <w:rFonts w:ascii="Times New Roman" w:hAnsi="Times New Roman"/>
          <w:sz w:val="20"/>
        </w:rPr>
      </w:pPr>
      <w:r>
        <w:rPr>
          <w:rFonts w:ascii="Times New Roman" w:hAnsi="Times New Roman"/>
          <w:sz w:val="20"/>
        </w:rPr>
        <w:t xml:space="preserve">MC 98000 Monaco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u w:val="single"/>
              </w:rPr>
            </w:pPr>
            <w:r>
              <w:rPr>
                <w:b/>
                <w:u w:val="single"/>
              </w:rPr>
              <w:t>Re:</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Navios Maritime Partners L.P. Registration Statement on Form F-3</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special Marshall Islands counsel to Navios Maritime Partners L.P., a Marshall Islands limited partnership (the </w:t>
      </w:r>
      <w:r>
        <w:rPr>
          <w:rFonts w:ascii="Times New Roman" w:hAnsi="Times New Roman"/>
          <w:b/>
          <w:i/>
          <w:sz w:val="20"/>
        </w:rPr>
        <w:t>Partnership</w:t>
      </w:r>
      <w:r>
        <w:rPr>
          <w:rFonts w:ascii="Times New Roman" w:hAnsi="Times New Roman"/>
          <w:sz w:val="20"/>
        </w:rPr>
        <w:t>), in connection with the preparation and filing with the U.S. Securities and Exchange Commission (the </w:t>
      </w:r>
      <w:r>
        <w:rPr>
          <w:rFonts w:ascii="Times New Roman" w:hAnsi="Times New Roman"/>
          <w:b/>
          <w:i/>
          <w:sz w:val="20"/>
        </w:rPr>
        <w:t>Commission</w:t>
      </w:r>
      <w:r>
        <w:rPr>
          <w:rFonts w:ascii="Times New Roman" w:hAnsi="Times New Roman"/>
          <w:sz w:val="20"/>
        </w:rPr>
        <w:t>), of the Registration Statement on Form F-3 (the </w:t>
      </w:r>
      <w:r>
        <w:rPr>
          <w:rFonts w:ascii="Times New Roman" w:hAnsi="Times New Roman"/>
          <w:b/>
          <w:i/>
          <w:sz w:val="20"/>
        </w:rPr>
        <w:t>Registration</w:t>
      </w:r>
      <w:r>
        <w:rPr>
          <w:rFonts w:ascii="Times New Roman" w:hAnsi="Times New Roman"/>
          <w:sz w:val="20"/>
        </w:rPr>
        <w:t xml:space="preserve"> </w:t>
      </w:r>
      <w:r>
        <w:rPr>
          <w:rFonts w:ascii="Times New Roman" w:hAnsi="Times New Roman"/>
          <w:b/>
          <w:i/>
          <w:sz w:val="20"/>
        </w:rPr>
        <w:t>Statement</w:t>
      </w:r>
      <w:r>
        <w:rPr>
          <w:rFonts w:ascii="Times New Roman" w:hAnsi="Times New Roman"/>
          <w:sz w:val="20"/>
        </w:rPr>
        <w:t>), filed with the Commission on May 11, 2023, pursuant to which the Partnership is registering under the Securities Act of 1933, as amended (the </w:t>
      </w:r>
      <w:r>
        <w:rPr>
          <w:rFonts w:ascii="Times New Roman" w:hAnsi="Times New Roman"/>
          <w:b/>
          <w:i/>
          <w:sz w:val="20"/>
        </w:rPr>
        <w:t>Securities Act</w:t>
      </w:r>
      <w:r>
        <w:rPr>
          <w:rFonts w:ascii="Times New Roman" w:hAnsi="Times New Roman"/>
          <w:sz w:val="20"/>
        </w:rPr>
        <w:t>), an aggregate amount of US$500,000,000.00 of the Partnerships securities referenced therein (the </w:t>
      </w:r>
      <w:r>
        <w:rPr>
          <w:rFonts w:ascii="Times New Roman" w:hAnsi="Times New Roman"/>
          <w:b/>
          <w:i/>
          <w:sz w:val="20"/>
        </w:rPr>
        <w:t>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connection with this opinion, we have examined such documents as may be required to issue this opinion including the Partnerships operational documentation and certain resolutions adopted by the Partnerships Board of Directors (the </w:t>
      </w:r>
      <w:r>
        <w:rPr>
          <w:rFonts w:ascii="Times New Roman" w:hAnsi="Times New Roman"/>
          <w:b/>
          <w:i/>
          <w:sz w:val="20"/>
        </w:rPr>
        <w:t>Board of Directors</w:t>
      </w:r>
      <w:r>
        <w:rPr>
          <w:rFonts w:ascii="Times New Roman" w:hAnsi="Times New Roman"/>
          <w:sz w:val="20"/>
        </w:rPr>
        <w:t xml:space="preserve">), relating to the registration of the Securities and such other documents or records of the proceedings of the Partnership as we have deemed relevant, and the Registration Statement and the exhibits thereto. </w:t>
      </w:r>
    </w:p>
    <w:p>
      <w:pPr>
        <w:pStyle w:val="TextBody"/>
        <w:bidi w:val="0"/>
        <w:spacing w:before="240" w:after="0"/>
        <w:jc w:val="left"/>
        <w:rPr>
          <w:rFonts w:ascii="Times New Roman" w:hAnsi="Times New Roman"/>
          <w:sz w:val="20"/>
        </w:rPr>
      </w:pPr>
      <w:r>
        <w:rPr>
          <w:rFonts w:ascii="Times New Roman" w:hAnsi="Times New Roman"/>
          <w:sz w:val="20"/>
        </w:rPr>
        <w:t xml:space="preserve">In our examination, we have assumed the genuineness of all signatures, the legal capacity of natural persons, the authenticity of all documents submitted to us as originals, the conformity to original documents of all documents submitted to us as certified, photostatic or facsimile copies and the authenticity of the originals of such copies.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limitations, qualifications, assumptions and caveats set forth herein and in the Registration Statement, we hereby confirm that the statements of legal conclusions relating to matters of Marshall Islands taxation law as set forth in the Registration Statement under the heading Marshall Islands Tax Consequences constitute the opinions of Reeder &amp; Simpson P.C. with respect to the matters set forth therein as of the effective date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limited to the Limited Partnership laws of the Republic of the Marshall Islands, and we express no opinion with respect to the laws of any other jurisdiction. No opinion is expressed on any matters other than those specifically referred to above by reference to the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have relied as to certain matters on information obtained from public officials, officers of the Partnership, and other sources believed by us to be responsible, and we have assumed that the Indentures will be duly authorized, executed, and delivered by the respective trustees thereunder, an assumption which we have not independently verified.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this opinion is to be used only in connection with the offer and sale of Securities while the Registration Statement is in effect.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you wish to file this opinion as an exhibit to the Registration Statement, and we hereby consent thereto. We hereby consent to the filing of this opinion as part of the Registration Statement and the reference to this firm in the section of the Registration Statement entitled Legal Matters. This consent is not to be construed as an admission that we are a party whose consent is required to be filed as part of the Registration Statement under the provisions of the Securities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Sincerely,</w:t>
            </w:r>
          </w:p>
          <w:p>
            <w:pPr>
              <w:pStyle w:val="TableContents"/>
              <w:bidi w:val="0"/>
              <w:spacing w:before="0" w:after="20"/>
              <w:jc w:val="left"/>
              <w:rPr/>
            </w:pPr>
            <w:r>
              <w:rPr/>
              <w:t> </w:t>
            </w:r>
          </w:p>
        </w:tc>
      </w:tr>
      <w:tr>
        <w:trPr/>
        <w:tc>
          <w:tcPr>
            <w:tcW w:w="10205"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\s\ Reeder &amp; Simpson, P.C.</w:t>
            </w:r>
          </w:p>
          <w:p>
            <w:pPr>
              <w:pStyle w:val="TableContents"/>
              <w:bidi w:val="0"/>
              <w:spacing w:before="0" w:after="0"/>
              <w:jc w:val="left"/>
              <w:rPr>
                <w:rFonts w:ascii="Times New Roman" w:hAnsi="Times New Roman"/>
                <w:sz w:val="20"/>
              </w:rPr>
            </w:pPr>
            <w:r>
              <w:rPr>
                <w:rFonts w:ascii="Times New Roman" w:hAnsi="Times New Roman"/>
                <w:sz w:val="20"/>
              </w:rPr>
              <w:t>Reeder &amp; Simpson, P.C.</w:t>
            </w:r>
          </w:p>
          <w:p>
            <w:pPr>
              <w:pStyle w:val="TableContents"/>
              <w:bidi w:val="0"/>
              <w:spacing w:before="0" w:after="20"/>
              <w:jc w:val="left"/>
              <w:rPr>
                <w:rFonts w:ascii="Times New Roman" w:hAnsi="Times New Roman"/>
                <w:sz w:val="20"/>
              </w:rPr>
            </w:pPr>
            <w:r>
              <w:rPr>
                <w:rFonts w:ascii="Times New Roman" w:hAnsi="Times New Roman"/>
                <w:sz w:val="20"/>
              </w:rPr>
              <w:t>Dennis J. Reeder</w:t>
            </w:r>
          </w:p>
        </w:tc>
      </w:tr>
    </w:tbl>
    <w:p>
      <w:pPr>
        <w:pStyle w:val="TextBody"/>
        <w:bidi w:val="0"/>
        <w:spacing w:before="0" w:after="0"/>
        <w:jc w:val="center"/>
        <w:rPr/>
      </w:pPr>
      <w:bookmarkStart w:id="35" w:name="d398843dex82.htm"/>
      <w:bookmarkStart w:id="36" w:name="ksd398843dex82"/>
      <w:bookmarkEnd w:id="35"/>
      <w:bookmarkEnd w:id="36"/>
      <w:r>
        <w:rPr/>
        <w:drawing>
          <wp:inline distT="0" distB="0" distL="0" distR="0">
            <wp:extent cx="5924550" cy="619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5924550" cy="619125"/>
                    </a:xfrm>
                    <a:prstGeom prst="rect">
                      <a:avLst/>
                    </a:prstGeom>
                  </pic:spPr>
                </pic:pic>
              </a:graphicData>
            </a:graphic>
          </wp:inline>
        </w:drawing>
      </w:r>
      <w:r>
        <w:rPr/>
        <w:t xml:space="preserve"> </w:t>
      </w:r>
      <w:r>
        <w:br w:type="page"/>
      </w:r>
    </w:p>
    <w:p>
      <w:pPr>
        <w:pStyle w:val="TextBody"/>
        <w:bidi w:val="0"/>
        <w:spacing w:before="0" w:after="0"/>
        <w:jc w:val="right"/>
        <w:rPr>
          <w:rFonts w:ascii="Times New Roman" w:hAnsi="Times New Roman"/>
          <w:b/>
          <w:sz w:val="20"/>
        </w:rPr>
      </w:pPr>
      <w:r>
        <w:rPr>
          <w:rFonts w:ascii="Times New Roman" w:hAnsi="Times New Roman"/>
          <w:b/>
          <w:sz w:val="20"/>
        </w:rPr>
        <w:t xml:space="preserve">Exhibit 8.2 </w:t>
      </w:r>
    </w:p>
    <w:p>
      <w:pPr>
        <w:pStyle w:val="TextBody"/>
        <w:bidi w:val="0"/>
        <w:spacing w:before="240" w:after="0"/>
        <w:jc w:val="left"/>
        <w:rPr>
          <w:rFonts w:ascii="Times New Roman" w:hAnsi="Times New Roman"/>
          <w:sz w:val="20"/>
        </w:rPr>
      </w:pPr>
      <w:r>
        <w:rPr>
          <w:rFonts w:ascii="Times New Roman" w:hAnsi="Times New Roman"/>
          <w:sz w:val="20"/>
        </w:rPr>
        <w:t xml:space="preserve">May 11, 2023 </w:t>
      </w:r>
    </w:p>
    <w:p>
      <w:pPr>
        <w:pStyle w:val="TextBody"/>
        <w:bidi w:val="0"/>
        <w:spacing w:before="240" w:after="0"/>
        <w:jc w:val="left"/>
        <w:rPr>
          <w:rFonts w:ascii="Times New Roman" w:hAnsi="Times New Roman"/>
          <w:sz w:val="20"/>
        </w:rPr>
      </w:pPr>
      <w:r>
        <w:rPr>
          <w:rFonts w:ascii="Times New Roman" w:hAnsi="Times New Roman"/>
          <w:sz w:val="20"/>
        </w:rPr>
        <w:t xml:space="preserve">Navios Maritime Partners L.P. </w:t>
      </w:r>
    </w:p>
    <w:p>
      <w:pPr>
        <w:pStyle w:val="TextBody"/>
        <w:bidi w:val="0"/>
        <w:spacing w:before="0" w:after="0"/>
        <w:jc w:val="left"/>
        <w:rPr>
          <w:rFonts w:ascii="Times New Roman" w:hAnsi="Times New Roman"/>
          <w:sz w:val="20"/>
        </w:rPr>
      </w:pPr>
      <w:r>
        <w:rPr>
          <w:rFonts w:ascii="Times New Roman" w:hAnsi="Times New Roman"/>
          <w:sz w:val="20"/>
        </w:rPr>
        <w:t xml:space="preserve">7 Avenue de Grande Bretagne, Office 11B2 </w:t>
      </w:r>
    </w:p>
    <w:p>
      <w:pPr>
        <w:pStyle w:val="TextBody"/>
        <w:bidi w:val="0"/>
        <w:spacing w:before="0" w:after="0"/>
        <w:jc w:val="left"/>
        <w:rPr>
          <w:rFonts w:ascii="Times New Roman" w:hAnsi="Times New Roman"/>
          <w:sz w:val="20"/>
        </w:rPr>
      </w:pPr>
      <w:r>
        <w:rPr>
          <w:rFonts w:ascii="Times New Roman" w:hAnsi="Times New Roman"/>
          <w:sz w:val="20"/>
        </w:rPr>
        <w:t xml:space="preserve">Monte Carlo, MC 98000 Monaco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Re:</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Navios Maritime Partners L.P. Registration Statement on Form F-3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special United States (</w:t>
      </w:r>
      <w:r>
        <w:rPr>
          <w:rFonts w:ascii="Times New Roman" w:hAnsi="Times New Roman"/>
          <w:i/>
          <w:sz w:val="20"/>
        </w:rPr>
        <w:t>U.S.</w:t>
      </w:r>
      <w:r>
        <w:rPr>
          <w:rFonts w:ascii="Times New Roman" w:hAnsi="Times New Roman"/>
          <w:sz w:val="20"/>
        </w:rPr>
        <w:t>) tax counsel to Navios Maritime Partners L.P., a Marshall Islands limited partnership (the </w:t>
      </w:r>
      <w:r>
        <w:rPr>
          <w:rFonts w:ascii="Times New Roman" w:hAnsi="Times New Roman"/>
          <w:i/>
          <w:sz w:val="20"/>
        </w:rPr>
        <w:t>Partnership</w:t>
      </w:r>
      <w:r>
        <w:rPr>
          <w:rFonts w:ascii="Times New Roman" w:hAnsi="Times New Roman"/>
          <w:sz w:val="20"/>
        </w:rPr>
        <w:t>), in connection with the preparation and filing with the United States Securities and Exchange Commission (the </w:t>
      </w:r>
      <w:r>
        <w:rPr>
          <w:rFonts w:ascii="Times New Roman" w:hAnsi="Times New Roman"/>
          <w:i/>
          <w:sz w:val="20"/>
        </w:rPr>
        <w:t>Commission</w:t>
      </w:r>
      <w:r>
        <w:rPr>
          <w:rFonts w:ascii="Times New Roman" w:hAnsi="Times New Roman"/>
          <w:sz w:val="20"/>
        </w:rPr>
        <w:t>) under the Securities Act of 1933, as amended (the </w:t>
      </w:r>
      <w:r>
        <w:rPr>
          <w:rFonts w:ascii="Times New Roman" w:hAnsi="Times New Roman"/>
          <w:i/>
          <w:sz w:val="20"/>
        </w:rPr>
        <w:t>Act</w:t>
      </w:r>
      <w:r>
        <w:rPr>
          <w:rFonts w:ascii="Times New Roman" w:hAnsi="Times New Roman"/>
          <w:sz w:val="20"/>
        </w:rPr>
        <w:t>), of a Registration Statement on Form F-3 (the </w:t>
      </w:r>
      <w:r>
        <w:rPr>
          <w:rFonts w:ascii="Times New Roman" w:hAnsi="Times New Roman"/>
          <w:i/>
          <w:sz w:val="20"/>
        </w:rPr>
        <w:t>Registration Statement</w:t>
      </w:r>
      <w:r>
        <w:rPr>
          <w:rFonts w:ascii="Times New Roman" w:hAnsi="Times New Roman"/>
          <w:sz w:val="20"/>
        </w:rPr>
        <w:t>), as filed with the Commission on May 11, 2023, and as it may thereafter be amended and supplemented, relating to the registration of an aggregate amount of $500,000,000 of the Partnerships securities referenced therein (the </w:t>
      </w:r>
      <w:r>
        <w:rPr>
          <w:rFonts w:ascii="Times New Roman" w:hAnsi="Times New Roman"/>
          <w:i/>
          <w:sz w:val="20"/>
        </w:rPr>
        <w:t>Securities</w:t>
      </w:r>
      <w:r>
        <w:rPr>
          <w:rFonts w:ascii="Times New Roman" w:hAnsi="Times New Roman"/>
          <w:sz w:val="20"/>
        </w:rPr>
        <w:t>). The Securities may be issued and sold from time to time by the Partnership after the Registration Statement, to which this opinion is an exhibit, becomes effective. In so acting, we have examined the Registration Statement, a tax representation letter of the Partnership of even date herewith (the </w:t>
      </w:r>
      <w:r>
        <w:rPr>
          <w:rFonts w:ascii="Times New Roman" w:hAnsi="Times New Roman"/>
          <w:i/>
          <w:sz w:val="20"/>
        </w:rPr>
        <w:t>Tax Certificate</w:t>
      </w:r>
      <w:r>
        <w:rPr>
          <w:rFonts w:ascii="Times New Roman" w:hAnsi="Times New Roman"/>
          <w:sz w:val="20"/>
        </w:rPr>
        <w:t xml:space="preserve">) and such other corporate records, documents, certificates and other instruments as we considered necessary or appropriate for the purposes of this opinion. </w:t>
      </w:r>
    </w:p>
    <w:p>
      <w:pPr>
        <w:pStyle w:val="TextBody"/>
        <w:bidi w:val="0"/>
        <w:spacing w:before="240" w:after="0"/>
        <w:jc w:val="left"/>
        <w:rPr>
          <w:rFonts w:ascii="Times New Roman" w:hAnsi="Times New Roman"/>
          <w:sz w:val="20"/>
        </w:rPr>
      </w:pPr>
      <w:r>
        <w:rPr>
          <w:rFonts w:ascii="Times New Roman" w:hAnsi="Times New Roman"/>
          <w:sz w:val="20"/>
        </w:rPr>
        <w:t xml:space="preserve">You have requested our opinion regarding certain U.S. federal income tax considerations that may be relevant to prospective common unit holders. In rendering our opinion, we have examined and relied upon the truth, accuracy, and completeness of the facts, statements and representations contained in (i) the Registration Statement, (ii) the Tax Certificate, and (iii) such other documents, certificates, records, statements and representations made by the Partnership as we have deemed necessary or appropriate as a basis for the opinion set forth below. We have not, however, undertaken an independent investigation of any factual matter set forth in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assumed, with your permission, that (i) the statements and representations concerning the Partnership and its operations contained in the Registration Statement and the statements and representations contained in the Tax Certificate are true, correct and complete and will remain true, correct and complete at all relevant times, (ii) the authenticity of original documents submitted to us and the conformity to the originals of documents submitted to us as copies and (iii) any statement or representation contained in the Tax Certificate with the qualification to the knowledge of, or is expected, or other similar qualification, is true, correct and complete and will remain true, correct and complete at all relevant times, in each case without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limitations, qualifications, assumptions and caveats set forth herein and in the Registration Statement (or incorporated therein by reference), we hereby confirm that the statements of legal conclusions relating to matters of U.S. federal income tax law as set forth in the Registration Statement under the headings (i) Risk Factors  (a) U.S. tax authorities could treat us as a passive foreign investment company, which could have adverse U.S. federal income tax consequences to U.S. unitholders, (b) We may have to pay tax on U.S.-source income, which would reduce our earnings, and (c) Actions taken by holders of our common units could result in our (and certain of our non-U.S. subsidiaries) being treated as a controlled foreign corporation, which could have adverse U.S. federal income tax consequences to certain U.S. holders, and (ii) Material U.S. Federal Income Tax Considerations constitute the opinions of Thompson Hine LLP with respect to the matters set forth therein as of the effective date of the Registration Statement.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Navios Maritime Partners L.P. </w:t>
      </w:r>
    </w:p>
    <w:p>
      <w:pPr>
        <w:pStyle w:val="TextBody"/>
        <w:bidi w:val="0"/>
        <w:spacing w:before="240" w:after="0"/>
        <w:jc w:val="left"/>
        <w:rPr>
          <w:rFonts w:ascii="Times New Roman" w:hAnsi="Times New Roman"/>
          <w:sz w:val="20"/>
        </w:rPr>
      </w:pPr>
      <w:r>
        <w:rPr>
          <w:rFonts w:ascii="Times New Roman" w:hAnsi="Times New Roman"/>
          <w:sz w:val="20"/>
        </w:rPr>
        <w:t xml:space="preserve">Page 2 </w:t>
      </w:r>
    </w:p>
    <w:p>
      <w:pPr>
        <w:pStyle w:val="TextBody"/>
        <w:bidi w:val="0"/>
        <w:spacing w:before="120" w:after="0"/>
        <w:jc w:val="left"/>
        <w:rPr>
          <w:rFonts w:ascii="Times New Roman" w:hAnsi="Times New Roman"/>
          <w:sz w:val="20"/>
        </w:rPr>
      </w:pPr>
      <w:r>
        <w:rPr>
          <w:rFonts w:ascii="Times New Roman" w:hAnsi="Times New Roman"/>
          <w:sz w:val="20"/>
        </w:rPr>
        <w:t xml:space="preserve">Our opinions and the tax discussion as set forth in or incorporated by reference into the Registration Statement are based on the current provisions of the U.S. Internal Revenue Code of 1986, as amended, the Treasury Regulations promulgated thereunder, published pronouncements of the Internal Revenue Service, and case law, any of which may be changed at any time with retroactive effect. No opinion is expressed on any matters other than those specifically referred to above by reference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being furnished in accordance with the requirements of Item 601(b)(8) of Regulation S-K under the Act. This opinion is expressly limited to the matters set forth above, and we render no opinion, whether by implication or otherwise, as to any other matters. This opinion is limited to the laws of the U.S., and we are expressing no opinion as to the effect of the laws of any other jurisdiction. This opinion speaks as of the date hereof, and we assume no obligation to advise you of facts, circumstances, events or developments which hereafter may be brought to our attention and which may alter, affect or modify the opinion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and to the reference to us under the heading Legal Matters in the Registration Statement. In giving this consent, we do not thereby admit that we are included in the category of persons whose consent is required under Section 7(a) of the Act or the rules and regulations of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Thompson Hine LLP </w:t>
      </w:r>
    </w:p>
    <w:p>
      <w:pPr>
        <w:pStyle w:val="TextBody"/>
        <w:bidi w:val="0"/>
        <w:spacing w:before="240" w:after="0"/>
        <w:jc w:val="left"/>
        <w:rPr>
          <w:rFonts w:ascii="Times New Roman" w:hAnsi="Times New Roman"/>
          <w:sz w:val="20"/>
        </w:rPr>
      </w:pPr>
      <w:r>
        <w:rPr>
          <w:rFonts w:ascii="Times New Roman" w:hAnsi="Times New Roman"/>
          <w:sz w:val="20"/>
        </w:rPr>
        <w:t xml:space="preserve">THOMPSON HINE LLP </w:t>
      </w:r>
    </w:p>
    <w:p>
      <w:pPr>
        <w:pStyle w:val="TextBody"/>
        <w:bidi w:val="0"/>
        <w:spacing w:before="0" w:after="0"/>
        <w:jc w:val="right"/>
        <w:rPr>
          <w:rFonts w:ascii="Times New Roman" w:hAnsi="Times New Roman"/>
          <w:b/>
          <w:sz w:val="20"/>
        </w:rPr>
      </w:pPr>
      <w:bookmarkStart w:id="37" w:name="d398843dex231.htm"/>
      <w:bookmarkStart w:id="38" w:name="ksd398843dex231"/>
      <w:bookmarkEnd w:id="37"/>
      <w:bookmarkEnd w:id="38"/>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F-3 of Navios Maritime Partners L.P. of our report dated March 31, 2021 relating to the financial statements, which appears in Navios Maritime Partners L.P.s Annual Report on Form 20-F for the year ended December 31, 2022.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S.A. </w:t>
      </w:r>
    </w:p>
    <w:p>
      <w:pPr>
        <w:pStyle w:val="TextBody"/>
        <w:bidi w:val="0"/>
        <w:spacing w:before="240" w:after="0"/>
        <w:jc w:val="left"/>
        <w:rPr>
          <w:rFonts w:ascii="Times New Roman" w:hAnsi="Times New Roman"/>
          <w:sz w:val="20"/>
        </w:rPr>
      </w:pPr>
      <w:r>
        <w:rPr>
          <w:rFonts w:ascii="Times New Roman" w:hAnsi="Times New Roman"/>
          <w:sz w:val="20"/>
        </w:rPr>
        <w:t xml:space="preserve">Athens, Greece </w:t>
      </w:r>
    </w:p>
    <w:p>
      <w:pPr>
        <w:pStyle w:val="TextBody"/>
        <w:bidi w:val="0"/>
        <w:spacing w:before="0" w:after="0"/>
        <w:jc w:val="left"/>
        <w:rPr>
          <w:rFonts w:ascii="Times New Roman" w:hAnsi="Times New Roman"/>
          <w:sz w:val="20"/>
        </w:rPr>
      </w:pPr>
      <w:r>
        <w:rPr>
          <w:rFonts w:ascii="Times New Roman" w:hAnsi="Times New Roman"/>
          <w:sz w:val="20"/>
        </w:rPr>
        <w:t xml:space="preserve">May 11, 2023 </w:t>
      </w:r>
    </w:p>
    <w:p>
      <w:pPr>
        <w:pStyle w:val="TextBody"/>
        <w:bidi w:val="0"/>
        <w:spacing w:before="0" w:after="0"/>
        <w:jc w:val="right"/>
        <w:rPr>
          <w:rFonts w:ascii="Times New Roman" w:hAnsi="Times New Roman"/>
          <w:b/>
          <w:sz w:val="20"/>
        </w:rPr>
      </w:pPr>
      <w:bookmarkStart w:id="39" w:name="d398843dex232.htm"/>
      <w:bookmarkStart w:id="40" w:name="ksd398843dex232"/>
      <w:bookmarkEnd w:id="39"/>
      <w:bookmarkEnd w:id="40"/>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the Registration Statement (Form F-3) and related Prospectus of Navios Maritime Partners L.P. for the registration of up to $500,000,000 aggregate principal amount of common units and/or debt securities and to the incorporation by reference therein of our reports dated March 24, 2023, with respect to the consolidated financial statements of Navios Maritime Partners L.P., and the effectiveness of internal control over financial reporting of Navios Maritime Partners L.P., included in its Annual Report (Form 20-F) for the year ended December 31, 2022,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(Hellas) Certified Auditors Accountants S.A. </w:t>
      </w:r>
    </w:p>
    <w:p>
      <w:pPr>
        <w:pStyle w:val="TextBody"/>
        <w:bidi w:val="0"/>
        <w:spacing w:before="240" w:after="0"/>
        <w:jc w:val="left"/>
        <w:rPr>
          <w:rFonts w:ascii="Times New Roman" w:hAnsi="Times New Roman"/>
          <w:sz w:val="20"/>
        </w:rPr>
      </w:pPr>
      <w:r>
        <w:rPr>
          <w:rFonts w:ascii="Times New Roman" w:hAnsi="Times New Roman"/>
          <w:sz w:val="20"/>
        </w:rPr>
        <w:t xml:space="preserve">Athens, Greece </w:t>
      </w:r>
    </w:p>
    <w:p>
      <w:pPr>
        <w:pStyle w:val="TextBody"/>
        <w:bidi w:val="0"/>
        <w:spacing w:before="0" w:after="0"/>
        <w:jc w:val="left"/>
        <w:rPr>
          <w:rFonts w:ascii="Times New Roman" w:hAnsi="Times New Roman"/>
          <w:sz w:val="20"/>
        </w:rPr>
      </w:pPr>
      <w:r>
        <w:rPr>
          <w:rFonts w:ascii="Times New Roman" w:hAnsi="Times New Roman"/>
          <w:sz w:val="20"/>
        </w:rPr>
        <w:t xml:space="preserve">May 11, 2023 </w:t>
      </w:r>
    </w:p>
    <w:p>
      <w:pPr>
        <w:pStyle w:val="TextBody"/>
        <w:bidi w:val="0"/>
        <w:spacing w:before="0" w:after="0"/>
        <w:jc w:val="right"/>
        <w:rPr>
          <w:rFonts w:ascii="Times New Roman" w:hAnsi="Times New Roman"/>
          <w:b/>
          <w:sz w:val="20"/>
        </w:rPr>
      </w:pPr>
      <w:bookmarkStart w:id="41" w:name="d398843dexfilingfees.htm"/>
      <w:bookmarkStart w:id="42" w:name="ksd398843dexfilingfees"/>
      <w:bookmarkEnd w:id="41"/>
      <w:bookmarkEnd w:id="42"/>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0" w:after="0"/>
        <w:jc w:val="center"/>
        <w:rPr>
          <w:rFonts w:ascii="Times New Roman" w:hAnsi="Times New Roman"/>
          <w:b/>
          <w:sz w:val="24"/>
        </w:rPr>
      </w:pPr>
      <w:r>
        <w:rPr>
          <w:rFonts w:ascii="Times New Roman" w:hAnsi="Times New Roman"/>
          <w:b/>
          <w:sz w:val="24"/>
        </w:rPr>
        <w:t xml:space="preserve">Form F-3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0" w:after="0"/>
        <w:jc w:val="center"/>
        <w:rPr>
          <w:rFonts w:ascii="Times New Roman" w:hAnsi="Times New Roman"/>
          <w:b/>
          <w:sz w:val="28"/>
        </w:rPr>
      </w:pPr>
      <w:r>
        <w:rPr>
          <w:rFonts w:ascii="Times New Roman" w:hAnsi="Times New Roman"/>
          <w:b/>
          <w:sz w:val="28"/>
        </w:rPr>
        <w:t xml:space="preserve">NAVIOS MARITIME PARTNERS L.P.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0" w:after="0"/>
        <w:jc w:val="center"/>
        <w:rPr>
          <w:rFonts w:ascii="Times New Roman" w:hAnsi="Times New Roman"/>
          <w:b/>
          <w:sz w:val="20"/>
        </w:rPr>
      </w:pPr>
      <w:r>
        <w:rPr>
          <w:rFonts w:ascii="Times New Roman" w:hAnsi="Times New Roman"/>
          <w:b/>
          <w:sz w:val="20"/>
        </w:rPr>
        <w:t xml:space="preserve">Table 1: Newly Registered and Carry Forward Securities </w:t>
      </w:r>
    </w:p>
    <w:tbl>
      <w:tblPr>
        <w:tblW w:w="13940" w:type="dxa"/>
        <w:jc w:val="center"/>
        <w:tblInd w:w="0" w:type="dxa"/>
        <w:tblLayout w:type="fixed"/>
        <w:tblCellMar>
          <w:top w:w="0" w:type="dxa"/>
          <w:left w:w="0" w:type="dxa"/>
          <w:bottom w:w="0" w:type="dxa"/>
          <w:right w:w="0" w:type="dxa"/>
        </w:tblCellMar>
      </w:tblPr>
      <w:tblGrid>
        <w:gridCol w:w="890"/>
        <w:gridCol w:w="60"/>
        <w:gridCol w:w="1160"/>
        <w:gridCol w:w="60"/>
        <w:gridCol w:w="1175"/>
        <w:gridCol w:w="60"/>
        <w:gridCol w:w="1100"/>
        <w:gridCol w:w="60"/>
        <w:gridCol w:w="1025"/>
        <w:gridCol w:w="60"/>
        <w:gridCol w:w="995"/>
        <w:gridCol w:w="60"/>
        <w:gridCol w:w="1640"/>
        <w:gridCol w:w="60"/>
        <w:gridCol w:w="1160"/>
        <w:gridCol w:w="60"/>
        <w:gridCol w:w="1160"/>
        <w:gridCol w:w="60"/>
        <w:gridCol w:w="485"/>
        <w:gridCol w:w="60"/>
        <w:gridCol w:w="485"/>
        <w:gridCol w:w="60"/>
        <w:gridCol w:w="830"/>
        <w:gridCol w:w="60"/>
        <w:gridCol w:w="1115"/>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7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20"/>
              <w:jc w:val="center"/>
              <w:rPr>
                <w:rFonts w:ascii="Times New Roman" w:hAnsi="Times New Roman"/>
                <w:sz w:val="14"/>
              </w:rPr>
            </w:pPr>
            <w:r>
              <w:rPr>
                <w:rFonts w:ascii="Times New Roman" w:hAnsi="Times New Roman"/>
                <w:sz w:val="14"/>
              </w:rP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0"/>
              <w:jc w:val="center"/>
              <w:rPr>
                <w:rFonts w:ascii="Times New Roman" w:hAnsi="Times New Roman"/>
                <w:sz w:val="14"/>
              </w:rPr>
            </w:pPr>
            <w:r>
              <w:rPr>
                <w:rFonts w:ascii="Times New Roman" w:hAnsi="Times New Roman"/>
                <w:sz w:val="14"/>
              </w:rPr>
              <w:t>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Fee</w:t>
              <w:br/>
              <w:t>Calculation</w:t>
              <w:br/>
              <w:t>or Carry</w:t>
              <w:br/>
              <w:t>Forward</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center"/>
              <w:rPr/>
            </w:pPr>
            <w:r>
              <w:rPr/>
              <w:t>Amount</w:t>
              <w:br/>
              <w:t>Registered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Proposed</w:t>
              <w:br/>
              <w:t>Maximum</w:t>
              <w:br/>
              <w:t>Offering</w:t>
              <w:br/>
              <w:t>Price Per</w:t>
              <w:br/>
              <w:t>Unit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Maximum</w:t>
            </w:r>
          </w:p>
          <w:p>
            <w:pPr>
              <w:pStyle w:val="TableContents"/>
              <w:bidi w:val="0"/>
              <w:spacing w:before="0" w:after="0"/>
              <w:jc w:val="center"/>
              <w:rPr>
                <w:rFonts w:ascii="Times New Roman" w:hAnsi="Times New Roman"/>
                <w:sz w:val="14"/>
              </w:rPr>
            </w:pPr>
            <w:r>
              <w:rPr>
                <w:rFonts w:ascii="Times New Roman" w:hAnsi="Times New Roman"/>
                <w:sz w:val="14"/>
              </w:rPr>
              <w:t>Aggregate</w:t>
            </w:r>
          </w:p>
          <w:p>
            <w:pPr>
              <w:pStyle w:val="TableContents"/>
              <w:bidi w:val="0"/>
              <w:spacing w:before="0" w:after="0"/>
              <w:jc w:val="center"/>
              <w:rPr>
                <w:rFonts w:ascii="Times New Roman" w:hAnsi="Times New Roman"/>
                <w:sz w:val="14"/>
              </w:rPr>
            </w:pPr>
            <w:r>
              <w:rPr>
                <w:rFonts w:ascii="Times New Roman" w:hAnsi="Times New Roman"/>
                <w:sz w:val="14"/>
              </w:rPr>
              <w:t>Offering</w:t>
            </w:r>
          </w:p>
          <w:p>
            <w:pPr>
              <w:pStyle w:val="TableContents"/>
              <w:bidi w:val="0"/>
              <w:spacing w:before="0" w:after="20"/>
              <w:jc w:val="center"/>
              <w:rPr>
                <w:rFonts w:ascii="Times New Roman" w:hAnsi="Times New Roman"/>
                <w:sz w:val="14"/>
              </w:rPr>
            </w:pPr>
            <w:r>
              <w:rPr>
                <w:rFonts w:ascii="Times New Roman" w:hAnsi="Times New Roman"/>
                <w:sz w:val="14"/>
              </w:rPr>
              <w:t>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20"/>
              <w:jc w:val="center"/>
              <w:rPr>
                <w:rFonts w:ascii="Times New Roman" w:hAnsi="Times New Roman"/>
                <w:sz w:val="14"/>
              </w:rPr>
            </w:pPr>
            <w:r>
              <w:rPr>
                <w:rFonts w:ascii="Times New Roman" w:hAnsi="Times New Roman"/>
                <w:sz w:val="14"/>
              </w:rP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Amount of</w:t>
              <w:br/>
              <w:t>Registration</w:t>
              <w:br/>
              <w:t>Fee(1)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Carry</w:t>
              <w:br/>
              <w:t>Forward</w:t>
            </w:r>
          </w:p>
          <w:p>
            <w:pPr>
              <w:pStyle w:val="TableContents"/>
              <w:bidi w:val="0"/>
              <w:spacing w:before="0" w:after="20"/>
              <w:jc w:val="center"/>
              <w:rPr>
                <w:rFonts w:ascii="Times New Roman" w:hAnsi="Times New Roman"/>
                <w:sz w:val="14"/>
              </w:rPr>
            </w:pPr>
            <w:r>
              <w:rPr>
                <w:rFonts w:ascii="Times New Roman" w:hAnsi="Times New Roman"/>
                <w:sz w:val="14"/>
              </w:rPr>
              <w:t>Form</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Carry</w:t>
            </w:r>
          </w:p>
          <w:p>
            <w:pPr>
              <w:pStyle w:val="TableContents"/>
              <w:bidi w:val="0"/>
              <w:spacing w:before="0" w:after="0"/>
              <w:jc w:val="center"/>
              <w:rPr>
                <w:rFonts w:ascii="Times New Roman" w:hAnsi="Times New Roman"/>
                <w:sz w:val="14"/>
              </w:rPr>
            </w:pPr>
            <w:r>
              <w:rPr>
                <w:rFonts w:ascii="Times New Roman" w:hAnsi="Times New Roman"/>
                <w:sz w:val="14"/>
              </w:rPr>
              <w:t>Forward</w:t>
            </w:r>
          </w:p>
          <w:p>
            <w:pPr>
              <w:pStyle w:val="TableContents"/>
              <w:bidi w:val="0"/>
              <w:spacing w:before="0" w:after="0"/>
              <w:jc w:val="center"/>
              <w:rPr>
                <w:rFonts w:ascii="Times New Roman" w:hAnsi="Times New Roman"/>
                <w:sz w:val="14"/>
              </w:rPr>
            </w:pPr>
            <w:r>
              <w:rPr>
                <w:rFonts w:ascii="Times New Roman" w:hAnsi="Times New Roman"/>
                <w:sz w:val="14"/>
              </w:rPr>
              <w:t>File</w:t>
            </w:r>
          </w:p>
          <w:p>
            <w:pPr>
              <w:pStyle w:val="TableContents"/>
              <w:bidi w:val="0"/>
              <w:spacing w:before="0" w:after="20"/>
              <w:jc w:val="center"/>
              <w:rPr>
                <w:rFonts w:ascii="Times New Roman" w:hAnsi="Times New Roman"/>
                <w:sz w:val="14"/>
              </w:rPr>
            </w:pPr>
            <w:r>
              <w:rPr>
                <w:rFonts w:ascii="Times New Roman" w:hAnsi="Times New Roman"/>
                <w:sz w:val="14"/>
              </w:rPr>
              <w:t>Number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center"/>
              <w:rPr/>
            </w:pPr>
            <w:r>
              <w:rPr/>
              <w:t>Carry</w:t>
              <w:br/>
              <w:t>Forward</w:t>
              <w:br/>
              <w:t>Initial</w:t>
              <w:br/>
              <w:t>effective</w:t>
              <w:b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center"/>
              <w:rPr/>
            </w:pPr>
            <w:r>
              <w:rPr/>
              <w:t>Filing Fee</w:t>
              <w:br/>
              <w:t>Previously</w:t>
              <w:br/>
              <w:t>Paid In</w:t>
              <w:br/>
              <w:t>Connection</w:t>
              <w:br/>
              <w:t>with</w:t>
              <w:br/>
              <w:t>Unsold</w:t>
              <w:br/>
              <w:t>Securities</w:t>
              <w:br/>
              <w:t>to be</w:t>
              <w:br/>
              <w:t>Carried</w:t>
              <w:br/>
              <w:t>Forward</w:t>
            </w:r>
          </w:p>
        </w:tc>
      </w:tr>
      <w:tr>
        <w:trPr>
          <w:trHeight w:val="15" w:hRule="atLeast"/>
        </w:trPr>
        <w:tc>
          <w:tcPr>
            <w:tcW w:w="13940"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3940" w:type="dxa"/>
            <w:gridSpan w:val="25"/>
            <w:tcBorders>
              <w:left w:val="single" w:sz="2" w:space="0" w:color="000000"/>
              <w:right w:val="single" w:sz="2" w:space="0" w:color="000000"/>
            </w:tcBorders>
            <w:tcMar>
              <w:left w:w="160" w:type="dxa"/>
              <w:right w:w="40" w:type="dxa"/>
            </w:tcMar>
            <w:vAlign w:val="bottom"/>
          </w:tcPr>
          <w:p>
            <w:pPr>
              <w:pStyle w:val="TableContents"/>
              <w:bidi w:val="0"/>
              <w:spacing w:before="0" w:after="283"/>
              <w:jc w:val="center"/>
              <w:rPr/>
            </w:pPr>
            <w:r>
              <w:rPr/>
              <w:t>Newly Registered Securities</w:t>
            </w:r>
          </w:p>
        </w:tc>
      </w:tr>
      <w:tr>
        <w:trPr>
          <w:trHeight w:val="15" w:hRule="atLeast"/>
        </w:trPr>
        <w:tc>
          <w:tcPr>
            <w:tcW w:w="89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6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55"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70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right w:val="single" w:sz="2" w:space="0" w:color="000000"/>
            </w:tcBorders>
            <w:tcMar>
              <w:left w:w="160" w:type="dxa"/>
              <w:right w:w="28" w:type="dxa"/>
            </w:tcMar>
          </w:tcPr>
          <w:p>
            <w:pPr>
              <w:pStyle w:val="TableContents"/>
              <w:bidi w:val="0"/>
              <w:spacing w:before="0" w:after="0"/>
              <w:jc w:val="center"/>
              <w:rPr>
                <w:rFonts w:ascii="Times New Roman" w:hAnsi="Times New Roman"/>
                <w:sz w:val="20"/>
              </w:rPr>
            </w:pPr>
            <w:r>
              <w:rPr>
                <w:rFonts w:ascii="Times New Roman" w:hAnsi="Times New Roman"/>
                <w:sz w:val="20"/>
              </w:rPr>
              <w:t>Fees to Be</w:t>
            </w:r>
          </w:p>
          <w:p>
            <w:pPr>
              <w:pStyle w:val="TableContents"/>
              <w:bidi w:val="0"/>
              <w:spacing w:before="0" w:after="20"/>
              <w:jc w:val="center"/>
              <w:rPr>
                <w:rFonts w:ascii="Times New Roman" w:hAnsi="Times New Roman"/>
                <w:sz w:val="20"/>
              </w:rPr>
            </w:pPr>
            <w:r>
              <w:rPr>
                <w:rFonts w:ascii="Times New Roman" w:hAnsi="Times New Roman"/>
                <w:sz w:val="20"/>
              </w:rPr>
              <w:t>Paid</w:t>
            </w:r>
          </w:p>
        </w:tc>
        <w:tc>
          <w:tcPr>
            <w:tcW w:w="6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right w:val="single" w:sz="2" w:space="0" w:color="000000"/>
            </w:tcBorders>
            <w:tcMar>
              <w:right w:w="28" w:type="dxa"/>
            </w:tcMar>
          </w:tcPr>
          <w:p>
            <w:pPr>
              <w:pStyle w:val="TableContents"/>
              <w:bidi w:val="0"/>
              <w:spacing w:before="0" w:after="283"/>
              <w:jc w:val="center"/>
              <w:rPr/>
            </w:pPr>
            <w:r>
              <w:rPr/>
              <w:t>Common units representing limited partnership interests</w:t>
            </w:r>
          </w:p>
        </w:tc>
        <w:tc>
          <w:tcPr>
            <w:tcW w:w="60" w:type="dxa"/>
            <w:tcBorders/>
            <w:vAlign w:val="bottom"/>
          </w:tcPr>
          <w:p>
            <w:pPr>
              <w:pStyle w:val="TableContents"/>
              <w:bidi w:val="0"/>
              <w:spacing w:before="0" w:after="283"/>
              <w:jc w:val="left"/>
              <w:rPr/>
            </w:pPr>
            <w:r>
              <w:rPr/>
              <w:t> </w:t>
            </w:r>
          </w:p>
        </w:tc>
        <w:tc>
          <w:tcPr>
            <w:tcW w:w="1100" w:type="dxa"/>
            <w:tcBorders/>
          </w:tcPr>
          <w:p>
            <w:pPr>
              <w:pStyle w:val="TableContents"/>
              <w:bidi w:val="0"/>
              <w:spacing w:before="0" w:after="283"/>
              <w:jc w:val="center"/>
              <w:rPr/>
            </w:pPr>
            <w:r>
              <w:rPr/>
              <w:t>457(o)</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right w:val="single" w:sz="2" w:space="0" w:color="000000"/>
            </w:tcBorders>
            <w:tcMar>
              <w:right w:w="28" w:type="dxa"/>
            </w:tcMar>
          </w:tcPr>
          <w:p>
            <w:pPr>
              <w:pStyle w:val="TableContents"/>
              <w:bidi w:val="0"/>
              <w:spacing w:before="0" w:after="283"/>
              <w:jc w:val="center"/>
              <w:rPr/>
            </w:pPr>
            <w:r>
              <w:rPr/>
              <w:t>(2)</w:t>
            </w:r>
          </w:p>
        </w:tc>
        <w:tc>
          <w:tcPr>
            <w:tcW w:w="60" w:type="dxa"/>
            <w:tcBorders/>
            <w:vAlign w:val="bottom"/>
          </w:tcPr>
          <w:p>
            <w:pPr>
              <w:pStyle w:val="TableContents"/>
              <w:bidi w:val="0"/>
              <w:spacing w:before="0" w:after="283"/>
              <w:jc w:val="left"/>
              <w:rPr/>
            </w:pPr>
            <w:r>
              <w:rPr/>
              <w:t> </w:t>
            </w:r>
          </w:p>
        </w:tc>
        <w:tc>
          <w:tcPr>
            <w:tcW w:w="995" w:type="dxa"/>
            <w:tcBorders/>
          </w:tcPr>
          <w:p>
            <w:pPr>
              <w:pStyle w:val="TableContents"/>
              <w:bidi w:val="0"/>
              <w:spacing w:before="0" w:after="283"/>
              <w:jc w:val="center"/>
              <w:rPr/>
            </w:pPr>
            <w:r>
              <w:rPr/>
              <w:t>(3)(4)</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40" w:type="dxa"/>
            <w:tcBorders>
              <w:right w:val="single" w:sz="2" w:space="0" w:color="000000"/>
            </w:tcBorders>
            <w:tcMar>
              <w:right w:w="28" w:type="dxa"/>
            </w:tcMar>
          </w:tcPr>
          <w:p>
            <w:pPr>
              <w:pStyle w:val="TableContents"/>
              <w:bidi w:val="0"/>
              <w:spacing w:before="0" w:after="283"/>
              <w:jc w:val="center"/>
              <w:rPr/>
            </w:pPr>
            <w:r>
              <w:rPr/>
              <w:t>(3)(4)</w:t>
            </w:r>
          </w:p>
        </w:tc>
        <w:tc>
          <w:tcPr>
            <w:tcW w:w="6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6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55"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70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right w:val="single" w:sz="2" w:space="0" w:color="000000"/>
            </w:tcBorders>
            <w:tcMar>
              <w:left w:w="160" w:type="dxa"/>
              <w:right w:w="28" w:type="dxa"/>
            </w:tcMa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right w:val="single" w:sz="2" w:space="0" w:color="000000"/>
            </w:tcBorders>
            <w:tcMar>
              <w:right w:w="28" w:type="dxa"/>
            </w:tcMar>
          </w:tcPr>
          <w:p>
            <w:pPr>
              <w:pStyle w:val="TableContents"/>
              <w:bidi w:val="0"/>
              <w:spacing w:before="0" w:after="283"/>
              <w:jc w:val="center"/>
              <w:rPr/>
            </w:pPr>
            <w:r>
              <w:rPr/>
              <w:t>Debt Securities</w:t>
            </w:r>
          </w:p>
        </w:tc>
        <w:tc>
          <w:tcPr>
            <w:tcW w:w="60" w:type="dxa"/>
            <w:tcBorders/>
            <w:vAlign w:val="bottom"/>
          </w:tcPr>
          <w:p>
            <w:pPr>
              <w:pStyle w:val="TableContents"/>
              <w:bidi w:val="0"/>
              <w:spacing w:before="0" w:after="283"/>
              <w:jc w:val="left"/>
              <w:rPr/>
            </w:pPr>
            <w:r>
              <w:rPr/>
              <w:t> </w:t>
            </w:r>
          </w:p>
        </w:tc>
        <w:tc>
          <w:tcPr>
            <w:tcW w:w="1100" w:type="dxa"/>
            <w:tcBorders/>
          </w:tcPr>
          <w:p>
            <w:pPr>
              <w:pStyle w:val="TableContents"/>
              <w:bidi w:val="0"/>
              <w:spacing w:before="0" w:after="283"/>
              <w:jc w:val="center"/>
              <w:rPr/>
            </w:pPr>
            <w:r>
              <w:rPr/>
              <w:t>457(o)</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right w:val="single" w:sz="2" w:space="0" w:color="000000"/>
            </w:tcBorders>
            <w:tcMar>
              <w:right w:w="28" w:type="dxa"/>
            </w:tcMar>
          </w:tcPr>
          <w:p>
            <w:pPr>
              <w:pStyle w:val="TableContents"/>
              <w:bidi w:val="0"/>
              <w:spacing w:before="0" w:after="283"/>
              <w:jc w:val="center"/>
              <w:rPr/>
            </w:pPr>
            <w:r>
              <w:rPr/>
              <w:t>(2)</w:t>
            </w:r>
          </w:p>
        </w:tc>
        <w:tc>
          <w:tcPr>
            <w:tcW w:w="60" w:type="dxa"/>
            <w:tcBorders/>
            <w:vAlign w:val="bottom"/>
          </w:tcPr>
          <w:p>
            <w:pPr>
              <w:pStyle w:val="TableContents"/>
              <w:bidi w:val="0"/>
              <w:spacing w:before="0" w:after="283"/>
              <w:jc w:val="left"/>
              <w:rPr/>
            </w:pPr>
            <w:r>
              <w:rPr/>
              <w:t> </w:t>
            </w:r>
          </w:p>
        </w:tc>
        <w:tc>
          <w:tcPr>
            <w:tcW w:w="995" w:type="dxa"/>
            <w:tcBorders/>
          </w:tcPr>
          <w:p>
            <w:pPr>
              <w:pStyle w:val="TableContents"/>
              <w:bidi w:val="0"/>
              <w:spacing w:before="0" w:after="283"/>
              <w:jc w:val="center"/>
              <w:rPr/>
            </w:pPr>
            <w:r>
              <w:rPr/>
              <w:t>(3)(4)</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40" w:type="dxa"/>
            <w:tcBorders>
              <w:right w:val="single" w:sz="2" w:space="0" w:color="000000"/>
            </w:tcBorders>
            <w:tcMar>
              <w:right w:w="28" w:type="dxa"/>
            </w:tcMar>
          </w:tcPr>
          <w:p>
            <w:pPr>
              <w:pStyle w:val="TableContents"/>
              <w:bidi w:val="0"/>
              <w:spacing w:before="0" w:after="283"/>
              <w:jc w:val="center"/>
              <w:rPr/>
            </w:pPr>
            <w:r>
              <w:rPr/>
              <w:t>(3)(4)</w:t>
            </w:r>
          </w:p>
        </w:tc>
        <w:tc>
          <w:tcPr>
            <w:tcW w:w="6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6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55"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70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right w:val="single" w:sz="2" w:space="0" w:color="000000"/>
            </w:tcBorders>
            <w:tcMar>
              <w:left w:w="160" w:type="dxa"/>
              <w:right w:w="28" w:type="dxa"/>
            </w:tcMa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83"/>
              <w:jc w:val="center"/>
              <w:rPr/>
            </w:pPr>
            <w:r>
              <w:rPr/>
              <w:t>Unallocated (Universal) Shelf</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right w:val="single" w:sz="2" w:space="0" w:color="000000"/>
            </w:tcBorders>
            <w:tcMar>
              <w:right w:w="28" w:type="dxa"/>
            </w:tcMar>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100" w:type="dxa"/>
            <w:tcBorders/>
          </w:tcPr>
          <w:p>
            <w:pPr>
              <w:pStyle w:val="TableContents"/>
              <w:bidi w:val="0"/>
              <w:spacing w:before="0" w:after="283"/>
              <w:jc w:val="center"/>
              <w:rPr/>
            </w:pPr>
            <w:r>
              <w:rPr/>
              <w:t>457(o)</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right w:val="single" w:sz="2" w:space="0" w:color="000000"/>
            </w:tcBorders>
            <w:tcMar>
              <w:right w:w="28" w:type="dxa"/>
            </w:tcMa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40" w:type="dxa"/>
            <w:tcBorders>
              <w:right w:val="single" w:sz="2" w:space="0" w:color="000000"/>
            </w:tcBorders>
            <w:tcMar>
              <w:right w:w="28" w:type="dxa"/>
            </w:tcMar>
          </w:tcPr>
          <w:p>
            <w:pPr>
              <w:pStyle w:val="TableContents"/>
              <w:bidi w:val="0"/>
              <w:spacing w:before="0" w:after="283"/>
              <w:jc w:val="center"/>
              <w:rPr/>
            </w:pPr>
            <w:r>
              <w:rPr/>
              <w:t>$500,000,000.00</w:t>
            </w:r>
          </w:p>
        </w:tc>
        <w:tc>
          <w:tcPr>
            <w:tcW w:w="6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83"/>
              <w:jc w:val="center"/>
              <w:rPr/>
            </w:pPr>
            <w:r>
              <w:rPr/>
              <w:t>0.00011020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tcPr>
          <w:p>
            <w:pPr>
              <w:pStyle w:val="TableContents"/>
              <w:bidi w:val="0"/>
              <w:spacing w:before="0" w:after="283"/>
              <w:jc w:val="center"/>
              <w:rPr/>
            </w:pPr>
            <w:r>
              <w:rPr/>
              <w:t>$55,100.00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pPr>
            <w:r>
              <w:rPr/>
              <w:t>(3)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6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55"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70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right w:val="single" w:sz="2" w:space="0" w:color="000000"/>
            </w:tcBorders>
            <w:tcMar>
              <w:left w:w="160" w:type="dxa"/>
              <w:right w:w="28" w:type="dxa"/>
            </w:tcMar>
          </w:tcPr>
          <w:p>
            <w:pPr>
              <w:pStyle w:val="TableContents"/>
              <w:bidi w:val="0"/>
              <w:spacing w:before="0" w:after="0"/>
              <w:jc w:val="center"/>
              <w:rPr>
                <w:rFonts w:ascii="Times New Roman" w:hAnsi="Times New Roman"/>
                <w:sz w:val="20"/>
              </w:rPr>
            </w:pPr>
            <w:r>
              <w:rPr>
                <w:rFonts w:ascii="Times New Roman" w:hAnsi="Times New Roman"/>
                <w:sz w:val="20"/>
              </w:rPr>
              <w:t>Fees</w:t>
            </w:r>
          </w:p>
          <w:p>
            <w:pPr>
              <w:pStyle w:val="TableContents"/>
              <w:bidi w:val="0"/>
              <w:spacing w:before="0" w:after="0"/>
              <w:jc w:val="center"/>
              <w:rPr>
                <w:rFonts w:ascii="Times New Roman" w:hAnsi="Times New Roman"/>
                <w:sz w:val="20"/>
              </w:rPr>
            </w:pPr>
            <w:r>
              <w:rPr>
                <w:rFonts w:ascii="Times New Roman" w:hAnsi="Times New Roman"/>
                <w:sz w:val="20"/>
              </w:rPr>
              <w:t>Previously</w:t>
            </w:r>
          </w:p>
          <w:p>
            <w:pPr>
              <w:pStyle w:val="TableContents"/>
              <w:bidi w:val="0"/>
              <w:spacing w:before="0" w:after="20"/>
              <w:jc w:val="center"/>
              <w:rPr>
                <w:rFonts w:ascii="Times New Roman" w:hAnsi="Times New Roman"/>
                <w:sz w:val="20"/>
              </w:rPr>
            </w:pPr>
            <w:r>
              <w:rPr>
                <w:rFonts w:ascii="Times New Roman" w:hAnsi="Times New Roman"/>
                <w:sz w:val="20"/>
              </w:rPr>
              <w:t>Paid</w:t>
            </w:r>
          </w:p>
        </w:tc>
        <w:tc>
          <w:tcPr>
            <w:tcW w:w="6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right w:val="single" w:sz="2" w:space="0" w:color="000000"/>
            </w:tcBorders>
            <w:tcMar>
              <w:right w:w="28" w:type="dxa"/>
            </w:tcMa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right w:val="single" w:sz="2" w:space="0" w:color="000000"/>
            </w:tcBorders>
            <w:tcMar>
              <w:right w:w="28" w:type="dxa"/>
            </w:tcMa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40" w:type="dxa"/>
            <w:tcBorders>
              <w:right w:val="single" w:sz="2" w:space="0" w:color="000000"/>
            </w:tcBorders>
            <w:tcMar>
              <w:right w:w="28" w:type="dxa"/>
            </w:tcMa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5755" w:type="dxa"/>
            <w:gridSpan w:val="10"/>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7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95" w:type="dxa"/>
            <w:gridSpan w:val="9"/>
            <w:tcBorders/>
            <w:vAlign w:val="bottom"/>
          </w:tcPr>
          <w:p>
            <w:pPr>
              <w:pStyle w:val="TableContents"/>
              <w:bidi w:val="0"/>
              <w:spacing w:before="0" w:after="283"/>
              <w:jc w:val="right"/>
              <w:rPr/>
            </w:pPr>
            <w:r>
              <w:rPr/>
              <w:t>Total Offering Amounts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40" w:type="dxa"/>
            <w:tcBorders/>
          </w:tcPr>
          <w:p>
            <w:pPr>
              <w:pStyle w:val="TableContents"/>
              <w:bidi w:val="0"/>
              <w:spacing w:before="0" w:after="283"/>
              <w:jc w:val="center"/>
              <w:rPr/>
            </w:pPr>
            <w:r>
              <w:rPr/>
              <w:t>$500,000,000.00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28" w:type="dxa"/>
            </w:tcMa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83"/>
              <w:jc w:val="center"/>
              <w:rPr/>
            </w:pPr>
            <w:r>
              <w:rPr/>
              <w:t>$55,100.00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pPr>
            <w:r>
              <w:rPr/>
              <w:t>(3)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5755" w:type="dxa"/>
            <w:gridSpan w:val="10"/>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7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95" w:type="dxa"/>
            <w:gridSpan w:val="9"/>
            <w:tcBorders/>
            <w:vAlign w:val="bottom"/>
          </w:tcPr>
          <w:p>
            <w:pPr>
              <w:pStyle w:val="TableContents"/>
              <w:bidi w:val="0"/>
              <w:spacing w:before="0" w:after="283"/>
              <w:jc w:val="right"/>
              <w:rPr/>
            </w:pPr>
            <w:r>
              <w:rPr/>
              <w:t>Total Fees Previously Paid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40" w:type="dxa"/>
            <w:tcBorders/>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28" w:type="dxa"/>
            </w:tcMa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83"/>
              <w:jc w:val="center"/>
              <w:rPr/>
            </w:pPr>
            <w:r>
              <w:rPr/>
              <w:t>$0.00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5755" w:type="dxa"/>
            <w:gridSpan w:val="10"/>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7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95" w:type="dxa"/>
            <w:gridSpan w:val="9"/>
            <w:tcBorders/>
            <w:vAlign w:val="bottom"/>
          </w:tcPr>
          <w:p>
            <w:pPr>
              <w:pStyle w:val="TableContents"/>
              <w:bidi w:val="0"/>
              <w:spacing w:before="0" w:after="283"/>
              <w:jc w:val="right"/>
              <w:rPr/>
            </w:pPr>
            <w:r>
              <w:rPr/>
              <w:t>Total Fee Offsets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40" w:type="dxa"/>
            <w:tcBorders/>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28" w:type="dxa"/>
            </w:tcMa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83"/>
              <w:jc w:val="center"/>
              <w:rPr/>
            </w:pPr>
            <w:r>
              <w:rPr/>
              <w:t>$37,999.78</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5755" w:type="dxa"/>
            <w:gridSpan w:val="10"/>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7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bottom w:val="single" w:sz="2" w:space="0" w:color="000000"/>
            </w:tcBorders>
            <w:tcMar>
              <w:left w:w="160" w:type="dxa"/>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695" w:type="dxa"/>
            <w:gridSpan w:val="9"/>
            <w:tcBorders>
              <w:bottom w:val="single" w:sz="2" w:space="0" w:color="000000"/>
            </w:tcBorders>
            <w:tcMar>
              <w:bottom w:w="28" w:type="dxa"/>
            </w:tcMar>
            <w:vAlign w:val="bottom"/>
          </w:tcPr>
          <w:p>
            <w:pPr>
              <w:pStyle w:val="TableContents"/>
              <w:bidi w:val="0"/>
              <w:spacing w:before="0" w:after="283"/>
              <w:jc w:val="right"/>
              <w:rPr/>
            </w:pPr>
            <w:r>
              <w:rPr/>
              <w:t>Net Fee Due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40"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tcPr>
          <w:p>
            <w:pPr>
              <w:pStyle w:val="TableContents"/>
              <w:bidi w:val="0"/>
              <w:spacing w:before="0" w:after="283"/>
              <w:jc w:val="center"/>
              <w:rPr/>
            </w:pPr>
            <w:r>
              <w:rPr/>
              <w:t>$17,100.22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Table 2: Fee Offset Claims and Sources </w:t>
      </w:r>
    </w:p>
    <w:p>
      <w:pPr>
        <w:pStyle w:val="TextBody"/>
        <w:bidi w:val="0"/>
        <w:spacing w:before="0" w:after="0"/>
        <w:jc w:val="left"/>
        <w:rPr/>
      </w:pPr>
      <w:r>
        <w:rPr/>
        <w:t> </w:t>
      </w:r>
    </w:p>
    <w:tbl>
      <w:tblPr>
        <w:tblW w:w="11175" w:type="dxa"/>
        <w:jc w:val="center"/>
        <w:tblInd w:w="0" w:type="dxa"/>
        <w:tblLayout w:type="fixed"/>
        <w:tblCellMar>
          <w:top w:w="0" w:type="dxa"/>
          <w:left w:w="0" w:type="dxa"/>
          <w:bottom w:w="0" w:type="dxa"/>
          <w:right w:w="0" w:type="dxa"/>
        </w:tblCellMar>
      </w:tblPr>
      <w:tblGrid>
        <w:gridCol w:w="590"/>
        <w:gridCol w:w="60"/>
        <w:gridCol w:w="875"/>
        <w:gridCol w:w="60"/>
        <w:gridCol w:w="575"/>
        <w:gridCol w:w="60"/>
        <w:gridCol w:w="740"/>
        <w:gridCol w:w="60"/>
        <w:gridCol w:w="875"/>
        <w:gridCol w:w="60"/>
        <w:gridCol w:w="575"/>
        <w:gridCol w:w="60"/>
        <w:gridCol w:w="1100"/>
        <w:gridCol w:w="60"/>
        <w:gridCol w:w="1055"/>
        <w:gridCol w:w="60"/>
        <w:gridCol w:w="1055"/>
        <w:gridCol w:w="60"/>
        <w:gridCol w:w="1055"/>
        <w:gridCol w:w="60"/>
        <w:gridCol w:w="1340"/>
        <w:gridCol w:w="60"/>
        <w:gridCol w:w="680"/>
      </w:tblGrid>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5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Registrant</w:t>
            </w:r>
          </w:p>
          <w:p>
            <w:pPr>
              <w:pStyle w:val="TableContents"/>
              <w:bidi w:val="0"/>
              <w:spacing w:before="0" w:after="0"/>
              <w:jc w:val="center"/>
              <w:rPr>
                <w:rFonts w:ascii="Times New Roman" w:hAnsi="Times New Roman"/>
                <w:sz w:val="14"/>
              </w:rPr>
            </w:pPr>
            <w:r>
              <w:rPr>
                <w:rFonts w:ascii="Times New Roman" w:hAnsi="Times New Roman"/>
                <w:sz w:val="14"/>
              </w:rPr>
              <w:t>or Filer</w:t>
            </w:r>
          </w:p>
          <w:p>
            <w:pPr>
              <w:pStyle w:val="TableContents"/>
              <w:bidi w:val="0"/>
              <w:spacing w:before="0" w:after="20"/>
              <w:jc w:val="center"/>
              <w:rPr>
                <w:rFonts w:ascii="Times New Roman" w:hAnsi="Times New Roman"/>
                <w:sz w:val="14"/>
              </w:rPr>
            </w:pPr>
            <w:r>
              <w:rPr>
                <w:rFonts w:ascii="Times New Roman" w:hAnsi="Times New Roman"/>
                <w:sz w:val="14"/>
              </w:rPr>
              <w:t>Name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center"/>
              <w:rPr/>
            </w:pPr>
            <w:r>
              <w:rPr/>
              <w:t>Form</w:t>
              <w:br/>
              <w:t>or</w:t>
              <w:br/>
              <w:t>Filing</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File</w:t>
            </w:r>
          </w:p>
          <w:p>
            <w:pPr>
              <w:pStyle w:val="TableContents"/>
              <w:bidi w:val="0"/>
              <w:spacing w:before="0" w:after="20"/>
              <w:jc w:val="center"/>
              <w:rPr>
                <w:rFonts w:ascii="Times New Roman" w:hAnsi="Times New Roman"/>
                <w:sz w:val="14"/>
              </w:rPr>
            </w:pPr>
            <w:r>
              <w:rPr>
                <w:rFonts w:ascii="Times New Roman" w:hAnsi="Times New Roman"/>
                <w:sz w:val="14"/>
              </w:rPr>
              <w:t>Number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Initial</w:t>
            </w:r>
          </w:p>
          <w:p>
            <w:pPr>
              <w:pStyle w:val="TableContents"/>
              <w:bidi w:val="0"/>
              <w:spacing w:before="0" w:after="0"/>
              <w:jc w:val="center"/>
              <w:rPr>
                <w:rFonts w:ascii="Times New Roman" w:hAnsi="Times New Roman"/>
                <w:sz w:val="14"/>
              </w:rPr>
            </w:pPr>
            <w:r>
              <w:rPr>
                <w:rFonts w:ascii="Times New Roman" w:hAnsi="Times New Roman"/>
                <w:sz w:val="14"/>
              </w:rPr>
              <w:t>Filing</w:t>
            </w:r>
          </w:p>
          <w:p>
            <w:pPr>
              <w:pStyle w:val="TableContents"/>
              <w:bidi w:val="0"/>
              <w:spacing w:before="0" w:after="20"/>
              <w:jc w:val="center"/>
              <w:rPr>
                <w:rFonts w:ascii="Times New Roman" w:hAnsi="Times New Roman"/>
                <w:sz w:val="14"/>
              </w:rPr>
            </w:pPr>
            <w:r>
              <w:rPr>
                <w:rFonts w:ascii="Times New Roman" w:hAnsi="Times New Roman"/>
                <w:sz w:val="14"/>
              </w:rP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center"/>
              <w:rPr/>
            </w:pPr>
            <w:r>
              <w:rPr/>
              <w:t>Filing</w:t>
              <w:b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20"/>
              <w:jc w:val="center"/>
              <w:rPr>
                <w:rFonts w:ascii="Times New Roman" w:hAnsi="Times New Roman"/>
                <w:sz w:val="14"/>
              </w:rPr>
            </w:pPr>
            <w:r>
              <w:rPr>
                <w:rFonts w:ascii="Times New Roman" w:hAnsi="Times New Roman"/>
                <w:sz w:val="14"/>
              </w:rPr>
              <w:t>Offset</w:t>
              <w:br/>
              <w:t>Claimed(5)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center"/>
              <w:rPr/>
            </w:pPr>
            <w:r>
              <w:rPr/>
              <w:t>Security</w:t>
              <w:br/>
              <w:t>Type</w:t>
              <w:br/>
              <w:t>Associated</w:t>
              <w:br/>
              <w:t>with Fee</w:t>
              <w:br/>
              <w:t>Offset</w:t>
              <w:br/>
              <w:t>Claimed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center"/>
              <w:rPr/>
            </w:pPr>
            <w:r>
              <w:rPr/>
              <w:t>Security</w:t>
              <w:br/>
              <w:t>Title</w:t>
              <w:br/>
              <w:t>Associated</w:t>
              <w:br/>
              <w:t>with Fee</w:t>
              <w:br/>
              <w:t>Offset</w:t>
              <w:br/>
              <w:t>Claimed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center"/>
              <w:rPr/>
            </w:pPr>
            <w:r>
              <w:rPr/>
              <w:t>Unsold</w:t>
              <w:br/>
              <w:t>Securities</w:t>
              <w:br/>
              <w:t>Associated</w:t>
              <w:br/>
              <w:t>with Fee</w:t>
              <w:br/>
              <w:t>Offset</w:t>
              <w:br/>
              <w:t>Claimed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Unsold</w:t>
            </w:r>
          </w:p>
          <w:p>
            <w:pPr>
              <w:pStyle w:val="TableContents"/>
              <w:bidi w:val="0"/>
              <w:spacing w:before="0" w:after="0"/>
              <w:jc w:val="center"/>
              <w:rPr>
                <w:rFonts w:ascii="Times New Roman" w:hAnsi="Times New Roman"/>
                <w:sz w:val="14"/>
              </w:rPr>
            </w:pPr>
            <w:r>
              <w:rPr>
                <w:rFonts w:ascii="Times New Roman" w:hAnsi="Times New Roman"/>
                <w:sz w:val="14"/>
              </w:rPr>
              <w:t>Aggregate</w:t>
              <w:br/>
              <w:t>Offering</w:t>
            </w:r>
          </w:p>
          <w:p>
            <w:pPr>
              <w:pStyle w:val="TableContents"/>
              <w:bidi w:val="0"/>
              <w:spacing w:before="0" w:after="20"/>
              <w:jc w:val="center"/>
              <w:rPr>
                <w:rFonts w:ascii="Times New Roman" w:hAnsi="Times New Roman"/>
                <w:sz w:val="14"/>
              </w:rPr>
            </w:pPr>
            <w:r>
              <w:rPr>
                <w:rFonts w:ascii="Times New Roman" w:hAnsi="Times New Roman"/>
                <w:sz w:val="14"/>
              </w:rPr>
              <w:t>Amount</w:t>
              <w:br/>
              <w:t>Associated</w:t>
              <w:br/>
              <w:t>with Fee Offset</w:t>
              <w:br/>
              <w:t>Claimed(5)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right w:val="single" w:sz="2" w:space="0" w:color="000000"/>
            </w:tcBorders>
            <w:tcMar>
              <w:right w:w="40" w:type="dxa"/>
            </w:tcMar>
            <w:vAlign w:val="bottom"/>
          </w:tcPr>
          <w:p>
            <w:pPr>
              <w:pStyle w:val="TableContents"/>
              <w:bidi w:val="0"/>
              <w:spacing w:before="0" w:after="283"/>
              <w:jc w:val="center"/>
              <w:rPr/>
            </w:pPr>
            <w:r>
              <w:rPr/>
              <w:t>Fee</w:t>
              <w:br/>
              <w:t>Paid</w:t>
              <w:br/>
              <w:t>with</w:t>
              <w:br/>
              <w:t>Fee</w:t>
              <w:br/>
              <w:t>Offset</w:t>
              <w:br/>
              <w:t>Source</w:t>
            </w:r>
          </w:p>
        </w:tc>
      </w:tr>
      <w:tr>
        <w:trPr>
          <w:trHeight w:val="15" w:hRule="atLeast"/>
        </w:trPr>
        <w:tc>
          <w:tcPr>
            <w:tcW w:w="11175" w:type="dxa"/>
            <w:gridSpan w:val="23"/>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1175" w:type="dxa"/>
            <w:gridSpan w:val="23"/>
            <w:tcBorders>
              <w:left w:val="single" w:sz="2" w:space="0" w:color="000000"/>
              <w:right w:val="single" w:sz="2" w:space="0" w:color="000000"/>
            </w:tcBorders>
            <w:tcMar>
              <w:left w:w="160" w:type="dxa"/>
              <w:right w:w="40" w:type="dxa"/>
            </w:tcMar>
          </w:tcPr>
          <w:p>
            <w:pPr>
              <w:pStyle w:val="TableContents"/>
              <w:bidi w:val="0"/>
              <w:spacing w:before="0" w:after="283"/>
              <w:jc w:val="center"/>
              <w:rPr/>
            </w:pPr>
            <w:r>
              <w:rPr/>
              <w:t>Rule 457(p)</w:t>
            </w:r>
          </w:p>
        </w:tc>
      </w:tr>
      <w:tr>
        <w:trPr>
          <w:trHeight w:val="15" w:hRule="atLeast"/>
        </w:trPr>
        <w:tc>
          <w:tcPr>
            <w:tcW w:w="5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6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0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6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90" w:type="dxa"/>
            <w:tcBorders>
              <w:left w:val="single" w:sz="2" w:space="0" w:color="000000"/>
              <w:bottom w:val="single" w:sz="2" w:space="0" w:color="000000"/>
            </w:tcBorders>
            <w:tcMar>
              <w:left w:w="160" w:type="dxa"/>
              <w:bottom w:w="28" w:type="dxa"/>
            </w:tcMar>
          </w:tcPr>
          <w:p>
            <w:pPr>
              <w:pStyle w:val="TableContents"/>
              <w:bidi w:val="0"/>
              <w:spacing w:before="0" w:after="0"/>
              <w:jc w:val="center"/>
              <w:rPr>
                <w:rFonts w:ascii="Times New Roman" w:hAnsi="Times New Roman"/>
                <w:sz w:val="20"/>
              </w:rPr>
            </w:pPr>
            <w:r>
              <w:rPr>
                <w:rFonts w:ascii="Times New Roman" w:hAnsi="Times New Roman"/>
                <w:sz w:val="20"/>
              </w:rPr>
              <w:t>Fee Offset</w:t>
            </w:r>
          </w:p>
          <w:p>
            <w:pPr>
              <w:pStyle w:val="TableContents"/>
              <w:bidi w:val="0"/>
              <w:spacing w:before="0" w:after="20"/>
              <w:jc w:val="center"/>
              <w:rPr>
                <w:rFonts w:ascii="Times New Roman" w:hAnsi="Times New Roman"/>
                <w:sz w:val="20"/>
              </w:rPr>
            </w:pPr>
            <w:r>
              <w:rPr>
                <w:rFonts w:ascii="Times New Roman" w:hAnsi="Times New Roman"/>
                <w:sz w:val="20"/>
              </w:rPr>
              <w:t>Claims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7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Navios Maritime Partners L.P.</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7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F-3</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333-237934</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7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April 30, 2020</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7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$37,999.78</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Common Stock</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(5)</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(5)</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340" w:type="dxa"/>
            <w:tcBorders>
              <w:bottom w:val="single" w:sz="2" w:space="0" w:color="000000"/>
            </w:tcBorders>
            <w:tcMar>
              <w:bottom w:w="28" w:type="dxa"/>
            </w:tcMar>
            <w:vAlign w:val="bottom"/>
          </w:tcPr>
          <w:p>
            <w:pPr>
              <w:pStyle w:val="TableContents"/>
              <w:bidi w:val="0"/>
              <w:spacing w:before="0" w:after="283"/>
              <w:jc w:val="center"/>
              <w:rPr/>
            </w:pPr>
            <w:r>
              <w:rPr/>
              <w:t>$292,756,358</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8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4950" w:type="pct"/>
        <w:jc w:val="left"/>
        <w:tblInd w:w="0" w:type="dxa"/>
        <w:tblLayout w:type="fixed"/>
        <w:tblCellMar>
          <w:top w:w="0" w:type="dxa"/>
          <w:left w:w="0" w:type="dxa"/>
          <w:bottom w:w="0" w:type="dxa"/>
          <w:right w:w="0" w:type="dxa"/>
        </w:tblCellMar>
      </w:tblPr>
      <w:tblGrid>
        <w:gridCol w:w="594"/>
        <w:gridCol w:w="109"/>
        <w:gridCol w:w="628"/>
        <w:gridCol w:w="122"/>
        <w:gridCol w:w="8649"/>
      </w:tblGrid>
      <w:tr>
        <w:trPr/>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649" w:type="dxa"/>
            <w:tcBorders/>
            <w:vAlign w:val="center"/>
          </w:tcPr>
          <w:p>
            <w:pPr>
              <w:pStyle w:val="TableContents"/>
              <w:bidi w:val="0"/>
              <w:spacing w:before="0" w:after="283"/>
              <w:jc w:val="left"/>
              <w:rPr>
                <w:sz w:val="4"/>
                <w:szCs w:val="4"/>
              </w:rPr>
            </w:pPr>
            <w:r>
              <w:rPr>
                <w:sz w:val="4"/>
                <w:szCs w:val="4"/>
              </w:rPr>
            </w:r>
          </w:p>
        </w:tc>
      </w:tr>
      <w:tr>
        <w:trPr/>
        <w:tc>
          <w:tcPr>
            <w:tcW w:w="59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2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(1)</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4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Calculated pursuant to Rule 457(o) under the Securities Act of 1933, as amended (the </w:t>
            </w:r>
            <w:r>
              <w:rPr>
                <w:i/>
              </w:rPr>
              <w:t>Securities Act</w:t>
            </w:r>
            <w:r>
              <w:rPr/>
              <w:t>), based on the proposed maximum aggregate offering price.</w:t>
            </w:r>
          </w:p>
        </w:tc>
      </w:tr>
      <w:tr>
        <w:trPr/>
        <w:tc>
          <w:tcPr>
            <w:tcW w:w="59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2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(2)</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4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There are being registered hereunder such indeterminate number of common units and such indeterminate number of debt securities, as shall have an aggregate initial offering price not to exceed $500,000,000. If any debt securities are issued at an original issue discount, then the offering price of such debt securities shall be in such greater principal amount as shall result in an aggregate initial offering price not to exceed $500,000,000, less the aggregate dollar amount of all securities previously issued hereunder.</w:t>
            </w:r>
          </w:p>
        </w:tc>
      </w:tr>
      <w:tr>
        <w:trPr/>
        <w:tc>
          <w:tcPr>
            <w:tcW w:w="59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2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(3)</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4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Estimated solely for the purpose of calculating the registration fee. Subject to Rule 462(b) under the Securities Act, the aggregate initial offering price of all securities issued by the registrant pursuant to this registration statement will not exceed $500,000,000. The proposed maximum aggregate offering price per class of security will be determined from time to time by the registrant in connection with the issuance by the registrant of the securities registered hereunder and is not specified as to each class of security pursuant to pursuant to Item 16(b) of Form F-3 under the Securities Act.</w:t>
            </w:r>
          </w:p>
        </w:tc>
      </w:tr>
      <w:tr>
        <w:trPr/>
        <w:tc>
          <w:tcPr>
            <w:tcW w:w="59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2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(4)</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4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In United States dollars or the equivalent thereof in any other currency, currency unit or units, or composite currency or currencies.</w:t>
            </w:r>
          </w:p>
        </w:tc>
      </w:tr>
      <w:tr>
        <w:trPr/>
        <w:tc>
          <w:tcPr>
            <w:tcW w:w="59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2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(5)</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4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Pursuant to Rule 457(p) under the Securities Act, the registrant has offset $37,999.78 of the filing fee associated with the $500,000,000 maximum aggregate offering price of partial unsold securities under the registrants Registration Statement on Form F-3 (Registration No. 333-237934) filed on April 30, 2020 (with a filing fee of $47,460.53) (the Prior Registration Statement), with $37,999.78 to be applied to future filings, and $292,756,358 of which remains unsold as of the date of this registration statement, against the amount of the registration fee for this registration statement. Upon effectiveness of this registration statement, that Prior Registration Statement, No. 333-237934, is hereby replaced.</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415921/000119312523079137/d420635d20f.htm" TargetMode="External"/><Relationship Id="rId4" Type="http://schemas.openxmlformats.org/officeDocument/2006/relationships/hyperlink" Target="http://www.sec.gov/Archives/edgar/data/1415921/000095013607007517/file1.htm" TargetMode="External"/><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91</Pages>
  <Words>51342</Words>
  <Characters>258739</Characters>
  <CharactersWithSpaces>312551</CharactersWithSpaces>
  <Paragraphs>7867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