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7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DATED: July 28, 2017</w:t>
      </w:r>
    </w:p>
    <w:p>
      <w:pPr>
        <w:spacing w:after="0" w:line="22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2060"/>
        <w:spacing w:after="0"/>
        <w:rPr>
          <w:sz w:val="20"/>
          <w:szCs w:val="20"/>
          <w:color w:val="auto"/>
        </w:rPr>
      </w:pPr>
      <w:r>
        <w:rPr>
          <w:rFonts w:ascii="Arial" w:cs="Arial" w:eastAsia="Arial" w:hAnsi="Arial"/>
          <w:sz w:val="43"/>
          <w:szCs w:val="43"/>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Monte Carlo, MC 98000 Monaco</w:t>
      </w:r>
    </w:p>
    <w:p>
      <w:pPr>
        <w:spacing w:after="0" w:line="2"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3" w:lineRule="exact"/>
        <w:rPr>
          <w:sz w:val="24"/>
          <w:szCs w:val="24"/>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3" w:lineRule="exact"/>
        <w:rPr>
          <w:sz w:val="24"/>
          <w:szCs w:val="24"/>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w:t>
      </w:r>
    </w:p>
    <w:p>
      <w:pPr>
        <w:spacing w:after="0" w:line="225" w:lineRule="exact"/>
        <w:rPr>
          <w:sz w:val="24"/>
          <w:szCs w:val="24"/>
          <w:color w:val="auto"/>
        </w:rPr>
      </w:pPr>
    </w:p>
    <w:p>
      <w:pPr>
        <w:ind w:left="55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240" w:top="230" w:right="10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12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w w:val="99"/>
              </w:rPr>
              <w:t>NAVIOS MARITIME PARTNERS L.P.</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2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rPr>
              <w:t>FORM 6-K</w:t>
            </w:r>
          </w:p>
        </w:tc>
        <w:tc>
          <w:tcPr>
            <w:tcW w:w="0" w:type="dxa"/>
            <w:vAlign w:val="bottom"/>
          </w:tcPr>
          <w:p>
            <w:pPr>
              <w:spacing w:after="0"/>
              <w:rPr>
                <w:sz w:val="1"/>
                <w:szCs w:val="1"/>
                <w:color w:val="auto"/>
              </w:rPr>
            </w:pPr>
          </w:p>
        </w:tc>
      </w:tr>
      <w:tr>
        <w:trPr>
          <w:trHeight w:val="432"/>
        </w:trPr>
        <w:tc>
          <w:tcPr>
            <w:tcW w:w="326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7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60" w:type="dxa"/>
            <w:vAlign w:val="bottom"/>
            <w:gridSpan w:val="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Operating and Financial Review</w:t>
              </w:r>
            </w:hyperlink>
          </w:p>
        </w:tc>
        <w:tc>
          <w:tcPr>
            <w:tcW w:w="78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260" w:type="dxa"/>
            <w:vAlign w:val="bottom"/>
            <w:gridSpan w:val="4"/>
            <w:vMerge w:val="continue"/>
          </w:tcPr>
          <w:p>
            <w:pPr>
              <w:spacing w:after="0"/>
              <w:rPr>
                <w:sz w:val="13"/>
                <w:szCs w:val="13"/>
                <w:color w:val="auto"/>
              </w:rPr>
            </w:pPr>
          </w:p>
        </w:tc>
        <w:tc>
          <w:tcPr>
            <w:tcW w:w="78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40" w:type="dxa"/>
            <w:vAlign w:val="bottom"/>
            <w:tcBorders>
              <w:top w:val="single" w:sz="8" w:color="0000EE"/>
            </w:tcBorders>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 List</w:t>
              </w:r>
            </w:hyperlink>
          </w:p>
        </w:tc>
        <w:tc>
          <w:tcPr>
            <w:tcW w:w="920" w:type="dxa"/>
            <w:vAlign w:val="bottom"/>
          </w:tcPr>
          <w:p>
            <w:pPr>
              <w:spacing w:after="0"/>
              <w:rPr>
                <w:sz w:val="18"/>
                <w:szCs w:val="18"/>
                <w:color w:val="auto"/>
              </w:rPr>
            </w:pPr>
          </w:p>
        </w:tc>
        <w:tc>
          <w:tcPr>
            <w:tcW w:w="812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Financial Statements Index</w:t>
              </w:r>
            </w:hyperlink>
          </w:p>
        </w:tc>
        <w:tc>
          <w:tcPr>
            <w:tcW w:w="78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85"/>
        </w:trPr>
        <w:tc>
          <w:tcPr>
            <w:tcW w:w="8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0" w:type="dxa"/>
            <w:vAlign w:val="bottom"/>
          </w:tcPr>
          <w:p>
            <w:pPr>
              <w:jc w:val="center"/>
              <w:ind w:right="2810"/>
              <w:spacing w:after="0"/>
              <w:rPr>
                <w:sz w:val="20"/>
                <w:szCs w:val="20"/>
                <w:color w:val="auto"/>
              </w:rPr>
            </w:pPr>
            <w:r>
              <w:rPr>
                <w:rFonts w:ascii="Arial" w:cs="Arial" w:eastAsia="Arial" w:hAnsi="Arial"/>
                <w:sz w:val="18"/>
                <w:szCs w:val="18"/>
                <w:color w:val="auto"/>
                <w:w w:val="99"/>
              </w:rPr>
              <w:t>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this Report is hereby incorporated by reference into the Registration Statement on Form F-3, File No. 333-215529.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Financial Review</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following is a discussion of the financial condition and results of operations for the three and six month periods ended June 30, 2017 and 2016 of Navios Maritime Partners L.P. (referred to herein as “we”, “us” or “Navios Partners”). All of the financial statements have been stated in accordance with generally accepted accounting principles in the United States of America (“US GAAP”). You should read this section together with the consolidated financial statements and the accompanying notes included in Navios Partners’ 2016 Annual Report filed on Form 20-F with the Securities and Exchange Commission.</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forward-looking statements (as defined in Section 27A of the Securities Act of 1933, as amended, and Section 21E of the Securities Exchange Act of 1934, as amended) concerning future events including Navios Partners’ future distributions and its ability to sustain the revised distribution, opportunities to reinvest cash accretively in a fleet renewal program or otherwise and Navios Partners’ growth strategy and measures to implement such strategy; including expected vessel acquisitions and entering into further time charters. Words such as “may”, “expects”, “intends”, “plans”, “believes”, “anticipates”, “hopes”, “estimates”, and variations of such words and similar expressions are intended to identify forward-looking statements. Such statements include comments regarding expected revenue and time charters. These forward-looking statements are based on the information available to, and the expectations and assumptions deemed reasonable by, Navios Partners at the time this filing was made. Although Navios Partners believes that the expectations reflected in such forward-looking statements are reasonable, no assurance can be given that such expectations will prove to have been correct. These statements involve known and unknown risks and are based upon a number of assumptions and estimates which are inherently subject to significant uncertainties and contingencies, many of which are beyond the control of Navios Partners. Actual results may differ materially from those expressed or implied by such forward-looking statements. Factors that could cause actual results to differ materially include, but are not limited to, uncertainty relating to global trade, including prices of seaborne commodities and continuing issues related to seaborne volume and ton miles, our continued ability to enter into long-term time charters, our ability to maximize the use of our vessels, expected demand in the dry cargo shipping sector in general and the demand for our Panamax, Capesize, Ultra-Handymax and Container vessels in particular, fluctuations in charter rates for dry cargo carriers and container vessels, the aging of our fleet and resultant increases in operations costs, the loss of any customer or charter or vessel, changes in the availability and costs of funding due to conditions in the bank market, capital markets and other factors, increases in costs and expenses, including but not limited to: crew wages, insurance, provisions, port expenses, lube oil, bunkers, repairs, maintenance and general and administrative expenses, the expected cost of, and our ability to comply with, governmental regulations and maritime self-regulatory organization standards, as well as standard regulations imposed by our charterers applicable to our business, general domestic and international political conditions, competitive factors in the market in which Navios Partners operates; risks associated with operations outside the United States; and other factors listed from time to time in Navios Partners’ filings with the Securities and Exchange Commission, including its Form 20-F’s and Form 6-K’s. Navios Partners expressly disclaims any obligations or undertaking to release publicly any updates or revisions to any forward-looking statements contained herein to reflect any change in Navios Partners’ expectations with respect thereto or any change in events, conditions or circumstances on which any statement is based. Navios Partners makes no prediction or statement about the performance of its common units.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Partners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Vessels</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July 2017, Navios Partners agreed to acquire from an unrelated third party one 2010 Hyundai-built Capesize vessel of approximately 179,314 dwt, for a purchase price of $26.7 million plus the issuance of 1.0 million common units at a price of $2.10 per unit. The vessel is expected to be delivered to Navios Partners’ owned fleet in the third quarter of 2017. The acquisition is subject to signing of definitive documentation.</w:t>
      </w:r>
    </w:p>
    <w:p>
      <w:pPr>
        <w:spacing w:after="0" w:line="16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July 2017, Navios Partners agreed to acquire from a related party one 2009 Tsuneishi Zhoushan-built Handymax vessel of approximately 58,058 dwt, for a total purchase price of $13.8 million. The vessel is expected to be delivered to Navios Partners’ owned fleet in the third quarter of 2017.</w:t>
      </w:r>
    </w:p>
    <w:p>
      <w:pPr>
        <w:sectPr>
          <w:pgSz w:w="11900" w:h="16838" w:orient="portrait"/>
          <w:cols w:equalWidth="0" w:num="1">
            <w:col w:w="11400"/>
          </w:cols>
          <w:pgMar w:left="240" w:top="459"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Debt Developments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June 2017, Navios Partners agreed to an additional tranche to its existing credit facility for an amount of $7.0 million with a commercial bank in order to finance the acquisition of the Navios Prosperity I. The facility matures in the second quarter of 2020 and bears interest at LIBOR plus 310 bps per annum.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121"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June 2017, Navios Partners entered into a new $32.0 million credit facility with a commercial bank in order to finance the acquisition of two Capesize vessels, the Navios Ace and the Navios Sol. The facility matures in the second quarter of 2021 and bears interest at LIBOR plus 300 bps per annum.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 developments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part of its strategic renewal program of its drybulk fleet, during 2017 to date Navios Partners agreed to acquire seven, and sold one, drybulk vessels. The average age of the vessels acquired is 7.4 years.</w:t>
      </w:r>
    </w:p>
    <w:tbl>
      <w:tblPr>
        <w:tblLayout w:type="fixed"/>
        <w:tblInd w:w="460" w:type="dxa"/>
        <w:tblCellMar>
          <w:top w:w="0" w:type="dxa"/>
          <w:left w:w="0" w:type="dxa"/>
          <w:bottom w:w="0" w:type="dxa"/>
          <w:right w:w="0" w:type="dxa"/>
        </w:tblCellMar>
      </w:tblPr>
      <w:tr>
        <w:trPr>
          <w:trHeight w:val="134"/>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4"/>
              </w:rPr>
              <w:t>Vessels</w:t>
            </w:r>
          </w:p>
        </w:tc>
        <w:tc>
          <w:tcPr>
            <w:tcW w:w="6740" w:type="dxa"/>
            <w:vAlign w:val="bottom"/>
            <w:vMerge w:val="restart"/>
          </w:tcPr>
          <w:p>
            <w:pPr>
              <w:spacing w:after="0"/>
              <w:rPr>
                <w:sz w:val="11"/>
                <w:szCs w:val="11"/>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Type</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Capacity</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67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DWT</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Ace</w:t>
            </w: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Capesize</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2011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179,016</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Delivered</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Navios Sol</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Capesize</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180,274</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Delivered</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TBN I</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Capesize</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178,132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Q3 2017</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Navios Prosperity I</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Panamax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75,527</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Delivered</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Libertas</w:t>
            </w: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Panamax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Delivered</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Navios TBN II*</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Capesize</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179,314</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Q3 2017</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TBN III</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Handymax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58,058</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Q3 2017</w:t>
            </w:r>
          </w:p>
        </w:tc>
        <w:tc>
          <w:tcPr>
            <w:tcW w:w="0" w:type="dxa"/>
            <w:vAlign w:val="bottom"/>
          </w:tcPr>
          <w:p>
            <w:pPr>
              <w:spacing w:after="0"/>
              <w:rPr>
                <w:sz w:val="1"/>
                <w:szCs w:val="1"/>
                <w:color w:val="auto"/>
              </w:rPr>
            </w:pP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925,832</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Subject to signing of definitive documentation.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the above fleet developments, the average age of the drybulk fleet reduced by approximately 9%, based on dwt basis. Additionally, Navios Partners increased the total capacity of the drybulk fleet by approximately 0.9 million dwt.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Maritime Containers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Private Placement</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June 8, 2017, Navios Maritime Containers Inc. (“Navios Containers”) closed its private placement of 10,057,645 shares at a subscription price of $5.00 per share, resulting in gross proceeds of $50.3 million. Navios Partners invested $30.0 million and received 59.7% of the equity of Navios Containers. Navios Partners also received warrants, with a five-year term, for 6.8% of the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Navios Containers registered its shares on the Norwegian Over-The-Counter Market (N-OTC) on June 12, 2017 under the ticker “NMCI”.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 Acquisition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Navios Containers used the proceeds of the private placement to acquire five 4,250 TEU vessels from Navios Partners for a total purchase price of $64.0 million. The payment terms included a $24.0 million credit by Navios Partners for a period of up to 90 days from the purchase date at LIBOR plus 375 bps, of which $14.0 million remained outstanding as of June 30, 2017. These vessels were previously acquired by Navios Partners from Rickmers Maritime Trust Pte. (“Rickmers Trust”) and are employed on charters with a net daily charter rate of $26,850 which expire in 2018 and early 2019.</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Navios Containers acquired all the rights under the acquisition agreements entered into between Navios Partners and Rickmers Trust to purchase the remaining nine vessels in the original 14-vessel container fleet (the “Fleet”) for a purchase price of $54.0 million plus certain delivery and other operating costs. As of July 25, 2017, five of these vessels had been delivered to Navios Containers and the remaining four are expected to be delivered during August 2017.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June 29, 2017, Navios Containers entered into a loan facility for an amount of $40.0 million with a commercial bank in order to finance the acquisition of seven container vessels of the Fleet (including the original five vessels). The facility is repayable in six consecutive quarterly installments of $3.8 million each, plus a balloon payment on the last repayment date. The facility matures in December 2018 and bears interest at LIBOR plus 385 bps per annum. As of June 30, 2017, the outstanding loan amount under this facility was $34.3 million and an additional amount of $3.2 million was drawn in July 2017. On July 27, 2017, the Company entered into a $21.0 million credit facility with the same commercial bank for financing of the remaining seven vessels of the Fleet. The facility is repayable in five equal quarterly installments of $0.8 million each, plus a balloon payment on the last repayment date. The facility matures in December 2018 and bears interest at LIBOR plus 400 bps per annum. The facility has not yet been drawn.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Navios Partners is an international owner and operator of dry cargo vessels, formed on August 7, 2007 under the laws of the Republic of the Marshall Islands by Navios Maritime Holdings Inc. (“Navios Holdings”), a vertically integrated seaborne shipping and logistics company with over 60 years of operating history in the drybulk shipping industry. Navios GP L.L.C. (the “General Partner”), a wholly owned subsidiary of Navios Holdings, was also formed on that date to act as the general partner of Navios Partners and received a 2.0% general partner interest in Navios Partners.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Navios Containers was established in the Republic of the Marshall Islands on April 28, 2017. The Company is a growth vehicle dedicated to the container sector of the maritime industry. Navios Containers also registered its shares on the Norwegian Over-The-Counter Market (N-OTC) on June 12, 2017 under the ticker “NMCI”. The operations of Navios Containers are managed by Navios ShipManagement Inc. (the “Manager”), a wholly-owned subsidiary of Navios Holdings, from its offices in Piraeus, Greece, Singapore and Monaco.</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July 27, 2017, there were outstanding 147,436,276 common units and 3,008,908 general partnership units. Navios Holdings currently owns a 20.9% interest in Navios Partners, which includes the 2.0% general partner interest.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Navios Partners’ fleet consists of 14 Panamax vessels, 13 Capesize vessels, three Ultra-Handymax vessels and seven Container vessels, including the two Capesize vessels and the one Ultra-Handymax vessel, which are expected to be delivered during the third quarter of 2017.</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general, the vessels in our fleet are chartered-out under time charters, which range in length from one to ten years at inception. From time to time, we operate vessels in the spot market until the vessels have been chartered under long-term charters.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summary information about Navios Partners’ fleet (excluding Navios Containers’ fleet) as of July 27,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2"/>
              </w:rPr>
              <w:t>Capacity</w:t>
            </w:r>
          </w:p>
        </w:tc>
        <w:tc>
          <w:tcPr>
            <w:tcW w:w="18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rPr>
              <w:t>Charter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99"/>
              </w:rPr>
              <w:t>Charter-Out</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Owned Drybulk Vessels</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Built</w:t>
            </w:r>
          </w:p>
        </w:tc>
        <w:tc>
          <w:tcPr>
            <w:tcW w:w="82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(DWT)</w:t>
            </w:r>
          </w:p>
        </w:tc>
        <w:tc>
          <w:tcPr>
            <w:tcW w:w="18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Date</w:t>
            </w:r>
            <w:r>
              <w:rPr>
                <w:rFonts w:ascii="Arial" w:cs="Arial" w:eastAsia="Arial" w:hAnsi="Arial"/>
                <w:sz w:val="12"/>
                <w:szCs w:val="12"/>
                <w:b w:val="1"/>
                <w:bCs w:val="1"/>
                <w:color w:val="auto"/>
                <w:w w:val="93"/>
              </w:rPr>
              <w:t>(2)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left="559"/>
              <w:spacing w:after="0"/>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Navios Soleil</w:t>
            </w:r>
          </w:p>
        </w:tc>
        <w:tc>
          <w:tcPr>
            <w:tcW w:w="10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Ultra-Handymax</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2009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57,337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3"/>
              </w:rPr>
              <w:t>December 2017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4"/>
              </w:rPr>
              <w:t>8,075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La Paix</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3"/>
              </w:rPr>
              <w:t>Ultra-Handymax</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61,485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August 2017</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Index</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Gemini S</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68,636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August 2017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Libra II</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70,136</w:t>
            </w: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w w:val="90"/>
              </w:rPr>
              <w:t>September 2017</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11,875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Felicity</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73,867</w:t>
            </w:r>
          </w:p>
        </w:tc>
        <w:tc>
          <w:tcPr>
            <w:tcW w:w="8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0"/>
              </w:rPr>
              <w:t>September 2017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Galaxy I</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74,195</w:t>
            </w: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rPr>
              <w:t>February 2018</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21,938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Hyperion</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75,707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March 2018</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Alegria</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76,466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January 2018</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10,213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Orbiter</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76,602</w:t>
            </w:r>
          </w:p>
        </w:tc>
        <w:tc>
          <w:tcPr>
            <w:tcW w:w="8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0"/>
              </w:rPr>
              <w:t>September 2017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w w:val="93"/>
              </w:rPr>
              <w:t>December 2018</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Index</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Helios</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77,075</w:t>
            </w:r>
          </w:p>
        </w:tc>
        <w:tc>
          <w:tcPr>
            <w:tcW w:w="8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3"/>
              </w:rPr>
              <w:t>December 2017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Sun</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76,619</w:t>
            </w: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w w:val="90"/>
              </w:rPr>
              <w:t>September 2017</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3"/>
              </w:rPr>
              <w:t>January 2019</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Index</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Hope</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75,397</w:t>
            </w: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w w:val="90"/>
              </w:rPr>
              <w:t>September 2017</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6,316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3"/>
              </w:rPr>
              <w:t>November 2018</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Index</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Sagittarius</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75,756</w:t>
            </w: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w w:val="93"/>
              </w:rPr>
              <w:t>November 2018</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26,125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Harmony</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82,790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3"/>
              </w:rPr>
              <w:t>October 2017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Prosperity I</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75,527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October 2017</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8,550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Libertas</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75,511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August 2017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Fantastiks</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2005</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180,265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January 2018</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80" w:type="dxa"/>
            <w:vAlign w:val="bottom"/>
            <w:gridSpan w:val="5"/>
          </w:tcPr>
          <w:p>
            <w:pPr>
              <w:jc w:val="right"/>
              <w:ind w:right="140"/>
              <w:spacing w:after="0"/>
              <w:rPr>
                <w:sz w:val="20"/>
                <w:szCs w:val="20"/>
                <w:color w:val="auto"/>
              </w:rPr>
            </w:pPr>
            <w:r>
              <w:rPr>
                <w:rFonts w:ascii="Arial" w:cs="Arial" w:eastAsia="Arial" w:hAnsi="Arial"/>
                <w:sz w:val="18"/>
                <w:szCs w:val="18"/>
                <w:color w:val="auto"/>
                <w:w w:val="94"/>
              </w:rPr>
              <w:t>4,675+Index</w:t>
            </w:r>
            <w:r>
              <w:rPr>
                <w:rFonts w:ascii="Arial" w:cs="Arial" w:eastAsia="Arial" w:hAnsi="Arial"/>
                <w:sz w:val="15"/>
                <w:szCs w:val="15"/>
                <w:color w:val="auto"/>
                <w:w w:val="94"/>
              </w:rPr>
              <w:t>(4)</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Aurora II</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2009</w:t>
            </w:r>
          </w:p>
        </w:tc>
        <w:tc>
          <w:tcPr>
            <w:tcW w:w="7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169,031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August 2017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Index</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Pollux</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2009</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180,727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August 2017</w:t>
            </w:r>
          </w:p>
        </w:tc>
        <w:tc>
          <w:tcPr>
            <w:tcW w:w="140" w:type="dxa"/>
            <w:vAlign w:val="bottom"/>
          </w:tcPr>
          <w:p>
            <w:pPr>
              <w:spacing w:after="0"/>
              <w:rPr>
                <w:sz w:val="18"/>
                <w:szCs w:val="18"/>
                <w:color w:val="auto"/>
              </w:rPr>
            </w:pPr>
          </w:p>
        </w:tc>
        <w:tc>
          <w:tcPr>
            <w:tcW w:w="2060" w:type="dxa"/>
            <w:vAlign w:val="bottom"/>
            <w:gridSpan w:val="7"/>
          </w:tcPr>
          <w:p>
            <w:pPr>
              <w:spacing w:after="0"/>
              <w:rPr>
                <w:sz w:val="20"/>
                <w:szCs w:val="20"/>
                <w:color w:val="auto"/>
              </w:rPr>
            </w:pPr>
            <w:r>
              <w:rPr>
                <w:rFonts w:ascii="Arial" w:cs="Arial" w:eastAsia="Arial" w:hAnsi="Arial"/>
                <w:sz w:val="18"/>
                <w:szCs w:val="18"/>
                <w:color w:val="auto"/>
              </w:rPr>
              <w:t>$100% of pool earnings</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Fulvia</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7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179,263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March 2018</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15,295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Melodia</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2010</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179,132</w:t>
            </w: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w w:val="90"/>
              </w:rPr>
              <w:t>September 2022</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29,356</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Luz</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7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179,144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3"/>
              </w:rPr>
              <w:t>January 2018</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4"/>
              </w:rPr>
              <w:t>5,250+Index</w:t>
            </w:r>
            <w:r>
              <w:rPr>
                <w:rFonts w:ascii="Arial" w:cs="Arial" w:eastAsia="Arial" w:hAnsi="Arial"/>
                <w:sz w:val="15"/>
                <w:szCs w:val="15"/>
                <w:color w:val="auto"/>
                <w:w w:val="94"/>
              </w:rPr>
              <w:t>(7)</w:t>
            </w: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Buena Ventura</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2010</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179,259</w:t>
            </w: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w w:val="93"/>
              </w:rPr>
              <w:t>December 2017</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Index</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Joy</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c>
          <w:tcPr>
            <w:tcW w:w="7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181,389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March 2018</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4"/>
              </w:rPr>
              <w:t>5,000+Index</w:t>
            </w:r>
            <w:r>
              <w:rPr>
                <w:rFonts w:ascii="Arial" w:cs="Arial" w:eastAsia="Arial" w:hAnsi="Arial"/>
                <w:sz w:val="15"/>
                <w:szCs w:val="15"/>
                <w:color w:val="auto"/>
                <w:w w:val="94"/>
              </w:rPr>
              <w:t>(7)</w:t>
            </w: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Navios Beaufiks</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2004</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180,310</w:t>
            </w:r>
          </w:p>
        </w:tc>
        <w:tc>
          <w:tcPr>
            <w:tcW w:w="8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w w:val="90"/>
              </w:rPr>
              <w:t>September 2017</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Index</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Navios Ace</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2011</w:t>
            </w:r>
          </w:p>
        </w:tc>
        <w:tc>
          <w:tcPr>
            <w:tcW w:w="7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179,016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March 2018</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Navios Sol</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5"/>
              </w:rPr>
              <w:t>Capesize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2009</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180,274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January 2018</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color w:val="auto"/>
                <w:w w:val="98"/>
              </w:rPr>
              <w:t>Index</w:t>
            </w:r>
            <w:r>
              <w:rPr>
                <w:rFonts w:ascii="Arial" w:cs="Arial" w:eastAsia="Arial" w:hAnsi="Arial"/>
                <w:sz w:val="15"/>
                <w:szCs w:val="15"/>
                <w:color w:val="auto"/>
                <w:w w:val="98"/>
              </w:rPr>
              <w:t>(10)</w:t>
            </w:r>
          </w:p>
        </w:tc>
        <w:tc>
          <w:tcPr>
            <w:tcW w:w="0" w:type="dxa"/>
            <w:vAlign w:val="bottom"/>
          </w:tcPr>
          <w:p>
            <w:pPr>
              <w:spacing w:after="0"/>
              <w:rPr>
                <w:sz w:val="1"/>
                <w:szCs w:val="1"/>
                <w:color w:val="auto"/>
              </w:rPr>
            </w:pPr>
          </w:p>
        </w:tc>
      </w:tr>
      <w:tr>
        <w:trPr>
          <w:trHeight w:val="355"/>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24"/>
                <w:szCs w:val="24"/>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Charter-Out</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Owned Container Vessels</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180" w:type="dxa"/>
            <w:vAlign w:val="bottom"/>
          </w:tcPr>
          <w:p>
            <w:pPr>
              <w:spacing w:after="0"/>
              <w:rPr>
                <w:sz w:val="12"/>
                <w:szCs w:val="12"/>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TEU</w:t>
            </w:r>
          </w:p>
        </w:tc>
        <w:tc>
          <w:tcPr>
            <w:tcW w:w="12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Date</w:t>
            </w:r>
            <w:r>
              <w:rPr>
                <w:rFonts w:ascii="Arial" w:cs="Arial" w:eastAsia="Arial" w:hAnsi="Arial"/>
                <w:sz w:val="12"/>
                <w:szCs w:val="12"/>
                <w:b w:val="1"/>
                <w:bCs w:val="1"/>
                <w:color w:val="auto"/>
                <w:w w:val="97"/>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1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Hyundai Hongkong</w:t>
            </w:r>
          </w:p>
        </w:tc>
        <w:tc>
          <w:tcPr>
            <w:tcW w:w="36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color w:val="auto"/>
                <w:w w:val="89"/>
              </w:rPr>
              <w:t>Container</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4"/>
              </w:rPr>
              <w:t>2006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6,800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December 2019</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7"/>
              </w:rPr>
              <w:t>24,095</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December 2023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w w:val="92"/>
              </w:rPr>
              <w:t>30,119</w:t>
            </w:r>
            <w:r>
              <w:rPr>
                <w:rFonts w:ascii="Arial" w:cs="Arial" w:eastAsia="Arial" w:hAnsi="Arial"/>
                <w:sz w:val="15"/>
                <w:szCs w:val="15"/>
                <w:color w:val="auto"/>
                <w:w w:val="92"/>
              </w:rPr>
              <w:t>(11)</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Hyundai Singapore</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2"/>
              </w:rPr>
              <w:t>Container</w:t>
            </w:r>
          </w:p>
        </w:tc>
        <w:tc>
          <w:tcPr>
            <w:tcW w:w="7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2006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December 2019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24,095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December 2023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w w:val="92"/>
              </w:rPr>
              <w:t>30,119</w:t>
            </w:r>
            <w:r>
              <w:rPr>
                <w:rFonts w:ascii="Arial" w:cs="Arial" w:eastAsia="Arial" w:hAnsi="Arial"/>
                <w:sz w:val="15"/>
                <w:szCs w:val="15"/>
                <w:color w:val="auto"/>
                <w:w w:val="92"/>
              </w:rPr>
              <w:t>(11)</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Hyundai Tokyo</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2"/>
              </w:rPr>
              <w:t>Container</w:t>
            </w:r>
          </w:p>
        </w:tc>
        <w:tc>
          <w:tcPr>
            <w:tcW w:w="7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2006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December 2019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24,095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December 2023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w w:val="92"/>
              </w:rPr>
              <w:t>30,119</w:t>
            </w:r>
            <w:r>
              <w:rPr>
                <w:rFonts w:ascii="Arial" w:cs="Arial" w:eastAsia="Arial" w:hAnsi="Arial"/>
                <w:sz w:val="15"/>
                <w:szCs w:val="15"/>
                <w:color w:val="auto"/>
                <w:w w:val="92"/>
              </w:rPr>
              <w:t>(11)</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Hyundai Shanghai</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2"/>
              </w:rPr>
              <w:t>Container</w:t>
            </w:r>
          </w:p>
        </w:tc>
        <w:tc>
          <w:tcPr>
            <w:tcW w:w="7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2006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December 2019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24,095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December 2023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w w:val="92"/>
              </w:rPr>
              <w:t>30,119</w:t>
            </w:r>
            <w:r>
              <w:rPr>
                <w:rFonts w:ascii="Arial" w:cs="Arial" w:eastAsia="Arial" w:hAnsi="Arial"/>
                <w:sz w:val="15"/>
                <w:szCs w:val="15"/>
                <w:color w:val="auto"/>
                <w:w w:val="92"/>
              </w:rPr>
              <w:t>(11)</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Hyundai Busan</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2"/>
              </w:rPr>
              <w:t>Container</w:t>
            </w:r>
          </w:p>
        </w:tc>
        <w:tc>
          <w:tcPr>
            <w:tcW w:w="7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2006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December 2019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24,095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December 2023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w w:val="92"/>
              </w:rPr>
              <w:t>30,119</w:t>
            </w:r>
            <w:r>
              <w:rPr>
                <w:rFonts w:ascii="Arial" w:cs="Arial" w:eastAsia="Arial" w:hAnsi="Arial"/>
                <w:sz w:val="15"/>
                <w:szCs w:val="15"/>
                <w:color w:val="auto"/>
                <w:w w:val="92"/>
              </w:rPr>
              <w:t>(11)</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YM Utmost</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2"/>
              </w:rPr>
              <w:t>Container</w:t>
            </w:r>
          </w:p>
        </w:tc>
        <w:tc>
          <w:tcPr>
            <w:tcW w:w="7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2006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8,204</w:t>
            </w:r>
          </w:p>
        </w:tc>
        <w:tc>
          <w:tcPr>
            <w:tcW w:w="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August 2018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34,266</w:t>
            </w:r>
          </w:p>
        </w:tc>
        <w:tc>
          <w:tcPr>
            <w:tcW w:w="0" w:type="dxa"/>
            <w:vAlign w:val="bottom"/>
          </w:tcPr>
          <w:p>
            <w:pPr>
              <w:spacing w:after="0"/>
              <w:rPr>
                <w:sz w:val="1"/>
                <w:szCs w:val="1"/>
                <w:color w:val="auto"/>
              </w:rPr>
            </w:pPr>
          </w:p>
        </w:tc>
      </w:t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YM Unity</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ind w:left="40"/>
              <w:spacing w:after="0"/>
              <w:rPr>
                <w:sz w:val="20"/>
                <w:szCs w:val="20"/>
                <w:color w:val="auto"/>
              </w:rPr>
            </w:pPr>
            <w:r>
              <w:rPr>
                <w:rFonts w:ascii="Arial" w:cs="Arial" w:eastAsia="Arial" w:hAnsi="Arial"/>
                <w:sz w:val="18"/>
                <w:szCs w:val="18"/>
                <w:color w:val="auto"/>
                <w:w w:val="92"/>
              </w:rPr>
              <w:t>Container</w:t>
            </w:r>
          </w:p>
        </w:tc>
        <w:tc>
          <w:tcPr>
            <w:tcW w:w="720" w:type="dxa"/>
            <w:vAlign w:val="bottom"/>
            <w:gridSpan w:val="4"/>
          </w:tcPr>
          <w:p>
            <w:pPr>
              <w:ind w:left="280"/>
              <w:spacing w:after="0"/>
              <w:rPr>
                <w:sz w:val="20"/>
                <w:szCs w:val="20"/>
                <w:color w:val="auto"/>
              </w:rPr>
            </w:pPr>
            <w:r>
              <w:rPr>
                <w:rFonts w:ascii="Arial" w:cs="Arial" w:eastAsia="Arial" w:hAnsi="Arial"/>
                <w:sz w:val="18"/>
                <w:szCs w:val="18"/>
                <w:color w:val="auto"/>
              </w:rPr>
              <w:t>2006</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8,204</w:t>
            </w:r>
          </w:p>
        </w:tc>
        <w:tc>
          <w:tcPr>
            <w:tcW w:w="60" w:type="dxa"/>
            <w:vAlign w:val="bottom"/>
          </w:tcPr>
          <w:p>
            <w:pPr>
              <w:spacing w:after="0"/>
              <w:rPr>
                <w:sz w:val="20"/>
                <w:szCs w:val="20"/>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October 2018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140"/>
              <w:spacing w:after="0"/>
              <w:rPr>
                <w:sz w:val="20"/>
                <w:szCs w:val="20"/>
                <w:color w:val="auto"/>
              </w:rPr>
            </w:pPr>
            <w:r>
              <w:rPr>
                <w:rFonts w:ascii="Arial" w:cs="Arial" w:eastAsia="Arial" w:hAnsi="Arial"/>
                <w:sz w:val="18"/>
                <w:szCs w:val="18"/>
                <w:color w:val="auto"/>
              </w:rPr>
              <w:t>34,266</w:t>
            </w:r>
          </w:p>
        </w:tc>
        <w:tc>
          <w:tcPr>
            <w:tcW w:w="0" w:type="dxa"/>
            <w:vAlign w:val="bottom"/>
          </w:tcPr>
          <w:p>
            <w:pPr>
              <w:spacing w:after="0"/>
              <w:rPr>
                <w:sz w:val="1"/>
                <w:szCs w:val="1"/>
                <w:color w:val="auto"/>
              </w:rPr>
            </w:pPr>
          </w:p>
        </w:tc>
      </w:tr>
      <w:tr>
        <w:trPr>
          <w:trHeight w:val="350"/>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jc w:val="right"/>
              <w:ind w:right="61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Vessels to be delivered</w:t>
            </w:r>
          </w:p>
        </w:tc>
        <w:tc>
          <w:tcPr>
            <w:tcW w:w="58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Type</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Capacity</w:t>
            </w: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Delivery</w:t>
            </w:r>
          </w:p>
        </w:tc>
        <w:tc>
          <w:tcPr>
            <w:tcW w:w="0" w:type="dxa"/>
            <w:vAlign w:val="bottom"/>
          </w:tcPr>
          <w:p>
            <w:pPr>
              <w:spacing w:after="0"/>
              <w:rPr>
                <w:sz w:val="1"/>
                <w:szCs w:val="1"/>
                <w:color w:val="auto"/>
              </w:rPr>
            </w:pPr>
          </w:p>
        </w:tc>
      </w:tr>
      <w:tr>
        <w:trPr>
          <w:trHeight w:val="171"/>
        </w:trPr>
        <w:tc>
          <w:tcPr>
            <w:tcW w:w="1380" w:type="dxa"/>
            <w:vAlign w:val="bottom"/>
            <w:vMerge w:val="continue"/>
          </w:tcPr>
          <w:p>
            <w:pPr>
              <w:spacing w:after="0"/>
              <w:rPr>
                <w:sz w:val="14"/>
                <w:szCs w:val="14"/>
                <w:color w:val="auto"/>
              </w:rPr>
            </w:pPr>
          </w:p>
        </w:tc>
        <w:tc>
          <w:tcPr>
            <w:tcW w:w="58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(DWT)</w:t>
            </w: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Navios TBN I</w:t>
            </w:r>
          </w:p>
        </w:tc>
        <w:tc>
          <w:tcPr>
            <w:tcW w:w="58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Capesize</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178,132</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Q3 2017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8"/>
              </w:rPr>
              <w:t>Navios TBN II</w:t>
            </w:r>
            <w:r>
              <w:rPr>
                <w:rFonts w:ascii="Arial" w:cs="Arial" w:eastAsia="Arial" w:hAnsi="Arial"/>
                <w:sz w:val="15"/>
                <w:szCs w:val="15"/>
                <w:color w:val="auto"/>
                <w:w w:val="98"/>
              </w:rPr>
              <w:t>(12)</w:t>
            </w:r>
          </w:p>
        </w:tc>
        <w:tc>
          <w:tcPr>
            <w:tcW w:w="58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Capesize</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179,314</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w w:val="95"/>
              </w:rPr>
              <w:t>Q3 2017</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Navios TBN III</w:t>
            </w:r>
          </w:p>
        </w:tc>
        <w:tc>
          <w:tcPr>
            <w:tcW w:w="5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Handymax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58,058</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Q3 2017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Daily charter-out rate per day, net of commissions or settlement and insurance proceeds, where applicable.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redelivery basis midpoint of full redelivery period, excluding Navios Partners’ extension options, not declared yet.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BPI 4TC minus $2,488 net per day.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 average BCI 5TC.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$9,480/day adjusted for 50% pool earnings or weighted average BCI 5TC.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Profit sharing 50% above $37,500/day based on Baltic Exchange Capesize TC Average.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52% average BCI 5TC.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100% average BCI 5TC.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110% average BSI 5TC.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108% average BCI 5TC.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Upon acquisition, the vessels are fixed on ten/twelve year charters with Navios Partners’ option to terminate after year seven.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signing of definitive documentation.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generate revenues by charging our customers for the use of our vessels to transport their dry cargos. In general, the vessels in our fleet are chartered-out under time charters, which range in length from one to eleven years at inception. From time to time, we operate vessels in the spot market until the vessels have been chartered under long-term charters.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six month period ended June 30, 2017, Navios Partners’ and Navios Containers’ customers representing 10% or more of total revenues were Hyundai Merchant Marine Co., Ltd. (“HMM”) and Yang Ming Marine Transport Corporation which accounted for approximately 30.4% and 13.6%, respectively, of total revenues. For the year ended December 31, 2016, Navios Partners’ customers representing 10% or more of total revenues were Hyundai Merchant Marine Co. Ltd., Yang Ming Marine Transport Corporation and Mediterranean Shipping Co. S.A. which accounted for 29.6%, 13.0% and 11.6%, respectively, of total revenues. We believe that the combination of the long-term nature of our charters (which provide for the receipt of a fixed fee for the life of the charter) and our management agreement with the Navios ShipManagement Inc. (the “Manager”), a wholly-owned subsidiary of Navios Holdings (which provides for a fixed management fee until December 31, 2017), provides us with a strong base of stable cash flows.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revenues are driven by the number of vessels in the fleet, the number of days during which the vessels operate and our charter hire rates, which, in turn, are affected by a number of factors, including:</w:t>
      </w:r>
    </w:p>
    <w:p>
      <w:pPr>
        <w:spacing w:after="0" w:line="76"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of the charters;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level of spot and long-term market rates at the time of charter;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relating to vessel acquisitions and disposals;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time spent positioning vessels;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time that vessels spend undergoing repairs and upgrades in drydock;</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age, condition and specifications of the vessels;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aggregate level of supply and demand in the dry cargo shipping industry.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Time charters are available for varying periods, ranging from a single trip (spot charter) to long-term which may be many years. In general, a long-term time charter assures the vessel owner of a consistent stream of revenue. Operating the vessel in the spot market affords the owner greater spot market opportunity, which may result in high rates when vessels are in high demand or low rates when vessel availability exceeds demand. We intend to operate our vessels in the long-term charter market. Vessel charter rates are affected by world economics, international events, weather conditions, strikes, governmental policies, supply and demand and many other factors that might be beyond our control. Please read “Risk Factors” in our 2016 Annual Report on Form 20-F for a discussion of certain risks inherent in our business.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could lose a customer or the benefits of a charter if:</w:t>
      </w:r>
    </w:p>
    <w:p>
      <w:pPr>
        <w:spacing w:after="0" w:line="13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of the vessel;</w:t>
      </w:r>
    </w:p>
    <w:p>
      <w:pPr>
        <w:spacing w:after="0" w:line="130" w:lineRule="exact"/>
        <w:rPr>
          <w:rFonts w:ascii="Arial" w:cs="Arial" w:eastAsia="Arial" w:hAnsi="Arial"/>
          <w:sz w:val="18"/>
          <w:szCs w:val="18"/>
          <w:color w:val="auto"/>
        </w:rPr>
      </w:pPr>
    </w:p>
    <w:p>
      <w:pPr>
        <w:ind w:left="440" w:right="8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75" w:lineRule="exact"/>
        <w:rPr>
          <w:rFonts w:ascii="Arial" w:cs="Arial" w:eastAsia="Arial" w:hAnsi="Arial"/>
          <w:sz w:val="18"/>
          <w:szCs w:val="18"/>
          <w:color w:val="auto"/>
        </w:rPr>
      </w:pPr>
    </w:p>
    <w:p>
      <w:pPr>
        <w:ind w:left="440" w:right="42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7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Under some of our time charters, either party may terminate the charter contract in the event of war in specified countries or in locations that would significantly disrupt the free trade of the vessel. Some of the time charters covering our vessels require us to return to the charterer, upon the loss of the vessel, all advances paid by the charterer but not earned by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Affecting Our Future Results of Operations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believe the principal factors that will affect our future results of operations are the economic, regulatory, political and governmental conditions that affect the shipping industry generally and that affect conditions in countries and markets in which our vessels engage in business. Please read “Risk Factors” in our 2016 Annual Report on Form 20-F for a discussion of certain risks inherent in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financial condition and the consolidated results of operations presented for the six month periods ended June 30, 2017 and 2016 of Navios Partners discussed below include the following entities: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Country of</w:t>
            </w:r>
          </w:p>
        </w:tc>
        <w:tc>
          <w:tcPr>
            <w:tcW w:w="24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Vessel name</w:t>
            </w:r>
          </w:p>
        </w:tc>
        <w:tc>
          <w:tcPr>
            <w:tcW w:w="10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incorporation</w:t>
            </w:r>
          </w:p>
        </w:tc>
        <w:tc>
          <w:tcPr>
            <w:tcW w:w="114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Libra Shipping</w:t>
            </w:r>
          </w:p>
        </w:tc>
        <w:tc>
          <w:tcPr>
            <w:tcW w:w="5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Enterprises Corporation</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Navios Libra II</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 06/30</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1/01 – 06/30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Alegria Shipping Corporation</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Navios Alegria</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Felicity Shipping Corporation</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Navios Felicity</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Gemini Shipping Corporation</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Navios Gemini 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Galaxy Shipping Corporation</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Navios Galaxy I</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Aurora Shipping Enterprises Ltd.</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Navios Hope</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Palermo Shipping S.A. (***)</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Navios Apollon</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04/21</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Fantastiks Shipping Corporation</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Navios Fantastiks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Sagittarius Shipping Corporation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Navios Sagittarius</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Hyperion Enterprises Inc.</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Navios Hyperion</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Chilali Corp.</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Navios Aurora II</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Surf Maritime Co.</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Navios Pollux</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Pandora Marine Inc.</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Navios Melodia</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Customized Development S.A.</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Navios Fulvia</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Liberia</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Kohylia Shipmanagement S.A.</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Navios Luz</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Orbiter Shipping Corp.</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Navios Orbiter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Floral Marine Ltd.</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Navios Buena Ventura</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Golem Navigation Limited</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Navios Soleil</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Kymata Shipping Co.</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Navios Helios</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Joy Shipping Corporation</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Navios Joy</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Micaela Shipping Corporation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Navios Harmony</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Pearl Shipping Corporation</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Navios Sun</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Velvet Shipping Corporation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Navios La Paix</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Perigiali Navigation Limited</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Navios Beaufiks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Finian Navigation Co.</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Navios Ace</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06/09 – 06/30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Ammos Shipping Corp.</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Navios Prosperity I</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06/07 – 06/30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Rubina Shipping Corporation</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Hyundai Hongkong</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Topaz Shipping Corporation</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Hyundai Singapore</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Beryl Shipping Corporation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Hyundai Tokyo</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Cheryl Shipping Corporation</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Hyundai Shanghai</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95"/>
              </w:rPr>
              <w:t>1/01 – 06/30</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5520" w:type="dxa"/>
            <w:vAlign w:val="bottom"/>
            <w:vMerge w:val="restart"/>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Country of</w:t>
            </w:r>
          </w:p>
        </w:tc>
        <w:tc>
          <w:tcPr>
            <w:tcW w:w="2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42"/>
        </w:trPr>
        <w:tc>
          <w:tcPr>
            <w:tcW w:w="980" w:type="dxa"/>
            <w:vAlign w:val="bottom"/>
            <w:tcBorders>
              <w:bottom w:val="single" w:sz="8" w:color="auto"/>
            </w:tcBorders>
            <w:vMerge w:val="continue"/>
          </w:tcPr>
          <w:p>
            <w:pPr>
              <w:spacing w:after="0"/>
              <w:rPr>
                <w:sz w:val="12"/>
                <w:szCs w:val="12"/>
                <w:color w:val="auto"/>
              </w:rPr>
            </w:pPr>
          </w:p>
        </w:tc>
        <w:tc>
          <w:tcPr>
            <w:tcW w:w="5520" w:type="dxa"/>
            <w:vAlign w:val="bottom"/>
            <w:tcBorders>
              <w:bottom w:val="single" w:sz="8" w:color="CCEEFF"/>
            </w:tcBorders>
            <w:vMerge w:val="continue"/>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Vessel name</w:t>
            </w: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incorporation</w:t>
            </w:r>
          </w:p>
        </w:tc>
        <w:tc>
          <w:tcPr>
            <w:tcW w:w="1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Christal Shipping Corporation</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Hyundai Busan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 06/30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 06/30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00"/>
              <w:spacing w:after="0"/>
              <w:rPr>
                <w:sz w:val="20"/>
                <w:szCs w:val="20"/>
                <w:color w:val="auto"/>
              </w:rPr>
            </w:pPr>
            <w:r>
              <w:rPr>
                <w:rFonts w:ascii="Arial" w:cs="Arial" w:eastAsia="Arial" w:hAnsi="Arial"/>
                <w:sz w:val="18"/>
                <w:szCs w:val="18"/>
                <w:color w:val="auto"/>
              </w:rPr>
              <w:t>Fairy Shipping Corporation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YM Utmost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 – 06/30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Limestone Shipping Corporation</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YM Unity</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 – 06/30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Dune Shipping Corp. (**)</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MSC Cristina</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01/12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 – 06/30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Citrine Shipping Corporation</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Olympia II Navigation Limited</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MOL Dominance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Pingel Navigation Limited</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MOL Delight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05/25 – 06/30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Ebba Navigation Limited</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MOL Destiny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Clan Navigation Limited</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MOL Devotion</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05/25 – 06/30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Sui An Navigation Limited</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MOL Dedication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JTC Shipping and Trading Ltd (*)</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Holding Company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Malta</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 – 06/30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Partners L.P.</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 – 06/30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Navios Maritime Operating L.L.C.</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 – 06/30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Partners Finance (US) Inc.</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Co-Borrower</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Delaware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 – 06/30</w:t>
            </w:r>
          </w:p>
        </w:tc>
        <w:tc>
          <w:tcPr>
            <w:tcW w:w="0" w:type="dxa"/>
            <w:vAlign w:val="bottom"/>
          </w:tcPr>
          <w:p>
            <w:pPr>
              <w:spacing w:after="0"/>
              <w:rPr>
                <w:sz w:val="1"/>
                <w:szCs w:val="1"/>
                <w:color w:val="auto"/>
              </w:rPr>
            </w:pPr>
          </w:p>
        </w:tc>
      </w:tr>
      <w:tr>
        <w:trPr>
          <w:trHeight w:val="202"/>
        </w:trPr>
        <w:tc>
          <w:tcPr>
            <w:tcW w:w="6500" w:type="dxa"/>
            <w:vAlign w:val="bottom"/>
            <w:gridSpan w:val="2"/>
          </w:tcPr>
          <w:p>
            <w:pPr>
              <w:spacing w:after="0" w:line="201" w:lineRule="exact"/>
              <w:rPr>
                <w:sz w:val="20"/>
                <w:szCs w:val="20"/>
                <w:color w:val="auto"/>
              </w:rPr>
            </w:pPr>
            <w:r>
              <w:rPr>
                <w:rFonts w:ascii="Arial" w:cs="Arial" w:eastAsia="Arial" w:hAnsi="Arial"/>
                <w:sz w:val="18"/>
                <w:szCs w:val="18"/>
                <w:color w:val="auto"/>
              </w:rPr>
              <w:t>Navios Partners Europe Finance Inc.</w:t>
            </w:r>
          </w:p>
        </w:tc>
        <w:tc>
          <w:tcPr>
            <w:tcW w:w="15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Sub-Holding</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Company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1/01 – 06/30</w:t>
            </w:r>
          </w:p>
        </w:tc>
        <w:tc>
          <w:tcPr>
            <w:tcW w:w="0" w:type="dxa"/>
            <w:vAlign w:val="bottom"/>
          </w:tcPr>
          <w:p>
            <w:pPr>
              <w:spacing w:after="0"/>
              <w:rPr>
                <w:sz w:val="1"/>
                <w:szCs w:val="1"/>
                <w:color w:val="auto"/>
              </w:rPr>
            </w:pPr>
          </w:p>
        </w:tc>
      </w:tr>
      <w:tr>
        <w:trPr>
          <w:trHeight w:val="202"/>
        </w:trPr>
        <w:tc>
          <w:tcPr>
            <w:tcW w:w="6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Partners Containers Finance Inc.</w:t>
            </w:r>
          </w:p>
        </w:tc>
        <w:tc>
          <w:tcPr>
            <w:tcW w:w="15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Sub-Holding</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Company</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05/25 – 06/30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00" w:type="dxa"/>
            <w:vAlign w:val="bottom"/>
            <w:gridSpan w:val="2"/>
          </w:tcPr>
          <w:p>
            <w:pPr>
              <w:spacing w:after="0" w:line="201" w:lineRule="exact"/>
              <w:rPr>
                <w:sz w:val="20"/>
                <w:szCs w:val="20"/>
                <w:color w:val="auto"/>
              </w:rPr>
            </w:pPr>
            <w:r>
              <w:rPr>
                <w:rFonts w:ascii="Arial" w:cs="Arial" w:eastAsia="Arial" w:hAnsi="Arial"/>
                <w:sz w:val="18"/>
                <w:szCs w:val="18"/>
                <w:color w:val="auto"/>
              </w:rPr>
              <w:t>Navios Partners Containers Inc.</w:t>
            </w:r>
          </w:p>
        </w:tc>
        <w:tc>
          <w:tcPr>
            <w:tcW w:w="15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Sub-Holding</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Company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 vessel-owning subsidiary and only holds right to charter-in contracts.</w:t>
      </w:r>
    </w:p>
    <w:p>
      <w:pPr>
        <w:spacing w:after="0" w:line="23"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vessel was classified as held for sale and was sold on January 12, 2017 (see note 4).</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vessel was sold on April 21, 2017 (see note 4).</w:t>
      </w:r>
    </w:p>
    <w:p>
      <w:pPr>
        <w:spacing w:after="0" w:line="21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accompanying interim condensed consolidated financial statements of Navios Partners are unaudited, but, in the opinion of management, contain all adjustments necessary to present a fair statement of results, in all material respects, of Navios Partners’ condensed consolidated financial position as of June 30, 2017 and the condensed consolidated results of operations for the three and six months ended June 30, 2017 and 2016. The footnotes are condensed as permitted by the requirements for interim financial statements and, accordingly, do not include information and disclosures required under US GAAP for complete financial statements. All such adjustments are deemed to be of a normal, recurring nature. The results of operations for the interim periods are not necessarily indicative of the results to be expected for the full year. These financial statements should be read in conjunction with the consolidated financial statements and related notes included in Navios Partners’ Annual Report on Form 20-F for the year ended December 31,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 Employment Profile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reflects certain key indicators indicative of the performance of Navios Partners and its core fleet performance (including 115 operating days of Navios Containers) for the three and six month periods ended June 30, 2017 and 2016.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Three Month</w:t>
            </w:r>
          </w:p>
        </w:tc>
        <w:tc>
          <w:tcPr>
            <w:tcW w:w="260" w:type="dxa"/>
            <w:vAlign w:val="bottom"/>
          </w:tcPr>
          <w:p>
            <w:pPr>
              <w:spacing w:after="0"/>
              <w:rPr>
                <w:sz w:val="14"/>
                <w:szCs w:val="14"/>
                <w:color w:val="auto"/>
              </w:rPr>
            </w:pPr>
          </w:p>
        </w:tc>
        <w:tc>
          <w:tcPr>
            <w:tcW w:w="15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7"/>
              </w:rPr>
              <w:t>Three Month</w:t>
            </w:r>
          </w:p>
        </w:tc>
        <w:tc>
          <w:tcPr>
            <w:tcW w:w="10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Six Month</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Six Month</w:t>
            </w:r>
          </w:p>
        </w:tc>
      </w:tr>
      <w:tr>
        <w:trPr>
          <w:trHeight w:val="149"/>
        </w:trPr>
        <w:tc>
          <w:tcPr>
            <w:tcW w:w="478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12"/>
                <w:szCs w:val="12"/>
                <w:color w:val="auto"/>
              </w:rPr>
            </w:pPr>
          </w:p>
        </w:tc>
        <w:tc>
          <w:tcPr>
            <w:tcW w:w="15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5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49"/>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2017</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2016</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2017</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2"/>
                <w:szCs w:val="12"/>
                <w:color w:val="auto"/>
              </w:rPr>
            </w:pPr>
          </w:p>
        </w:tc>
      </w:tr>
      <w:tr>
        <w:trPr>
          <w:trHeight w:val="171"/>
        </w:trPr>
        <w:tc>
          <w:tcPr>
            <w:tcW w:w="47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5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(unaudited)</w:t>
            </w:r>
          </w:p>
        </w:tc>
        <w:tc>
          <w:tcPr>
            <w:tcW w:w="15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Days</w:t>
            </w:r>
            <w:r>
              <w:rPr>
                <w:rFonts w:ascii="Arial" w:cs="Arial" w:eastAsia="Arial" w:hAnsi="Arial"/>
                <w:sz w:val="15"/>
                <w:szCs w:val="15"/>
                <w:color w:val="auto"/>
              </w:rPr>
              <w:t>(1)</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Days</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2,936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5,625</w:t>
            </w:r>
          </w:p>
        </w:tc>
        <w:tc>
          <w:tcPr>
            <w:tcW w:w="2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Fleet Utilization</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99.85%</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 xml:space="preserve">Time Charter Equivalent (per day) </w:t>
            </w:r>
            <w:r>
              <w:rPr>
                <w:rFonts w:ascii="Arial" w:cs="Arial" w:eastAsia="Arial" w:hAnsi="Arial"/>
                <w:sz w:val="15"/>
                <w:szCs w:val="15"/>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16,905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16,005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15,820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15,764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Vessels operating at period end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left="460" w:right="6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Available days for the fleet represent total calendar days the vessels were in Navios Partners’ and Navios Containers’ possession for the relevant period after subtracting off-hire days associated with scheduled repairs, dry dockings or special surveys. The shipping industry uses available days to measure the number of days in a relevant period during which a vessel is capable of generating revenues.</w:t>
      </w:r>
    </w:p>
    <w:p>
      <w:pPr>
        <w:ind w:left="460" w:right="1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days is the number of available days in the relevant period less the aggregate number of days that the vessels are off-hire due to any reason, including unforeseen circumstances. The shipping industry uses operating days to measure the aggregate number of days in a relevant period during which vessels actually generate revenues.</w:t>
      </w:r>
    </w:p>
    <w:p>
      <w:pPr>
        <w:sectPr>
          <w:pgSz w:w="11900" w:h="16838" w:orient="portrait"/>
          <w:cols w:equalWidth="0" w:num="1">
            <w:col w:w="11420"/>
          </w:cols>
          <w:pgMar w:left="240" w:top="459" w:right="2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Fleet utilization is the percentage of time that Navios Partners’ and Navios Containers’ vessels were available for revenue generating available days, and is determined by dividing the number of operating days during a relevant period by the number of available days during that period. The shipping industry uses fleet utilization to measure efficiency in finding employment for vessels and minimizing the amount of days that its vessels are off-hire for reasons other than scheduled repairs, drydockings or special surveys.</w:t>
      </w:r>
    </w:p>
    <w:p>
      <w:pPr>
        <w:spacing w:after="0" w:line="92" w:lineRule="exact"/>
        <w:rPr>
          <w:rFonts w:ascii="Arial" w:cs="Arial" w:eastAsia="Arial" w:hAnsi="Arial"/>
          <w:sz w:val="18"/>
          <w:szCs w:val="18"/>
          <w:color w:val="auto"/>
        </w:rPr>
      </w:pPr>
    </w:p>
    <w:p>
      <w:pPr>
        <w:ind w:left="460" w:right="200" w:hanging="452"/>
        <w:spacing w:after="0" w:line="28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TCE rate: Time Charter Equivalent rate per day is defined as voyage and time charter revenues less voyage expenses during a period divided by the number of available days during the period. The TCE rate per day is a standard shipping industry performance measure used primarily to present the actual daily earnings generated by vessels on various types of charter contracts for the number of available days of the fleet.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consolidated revenue and expense information for the three and six month periods ended June 30, 2017 and 2016.</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5"/>
              </w:rPr>
              <w:t>Six Month</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Six Month</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28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 2017</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 2016</w:t>
            </w:r>
          </w:p>
        </w:tc>
        <w:tc>
          <w:tcPr>
            <w:tcW w:w="28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 2017</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 2016</w:t>
            </w: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9"/>
              </w:rPr>
              <w:t>(unaudited)</w:t>
            </w: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(unaudited)</w:t>
            </w:r>
          </w:p>
        </w:tc>
        <w:tc>
          <w:tcPr>
            <w:tcW w:w="280" w:type="dxa"/>
            <w:vAlign w:val="bottom"/>
          </w:tcPr>
          <w:p>
            <w:pPr>
              <w:spacing w:after="0"/>
              <w:rPr>
                <w:sz w:val="14"/>
                <w:szCs w:val="14"/>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(unaudited)</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(unaudited)</w:t>
            </w:r>
          </w:p>
        </w:tc>
      </w:tr>
      <w:tr>
        <w:trPr>
          <w:trHeight w:val="182"/>
        </w:trPr>
        <w:tc>
          <w:tcPr>
            <w:tcW w:w="20" w:type="dxa"/>
            <w:vAlign w:val="bottom"/>
          </w:tcPr>
          <w:p>
            <w:pPr>
              <w:spacing w:after="0"/>
              <w:rPr>
                <w:sz w:val="15"/>
                <w:szCs w:val="15"/>
                <w:color w:val="auto"/>
              </w:rPr>
            </w:pPr>
          </w:p>
        </w:tc>
        <w:tc>
          <w:tcPr>
            <w:tcW w:w="4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Time charter and voyage revenues (includes related party</w:t>
            </w: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revenue of $33 and $643 for the three and six months ended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June 30, 2017, respectively, and $(3,135) and $1,171 for the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three and six months ended June 30, 2016, respectively)</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44,877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92,429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90,518</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Time charter and voyage expenses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(3,811)</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5"/>
              </w:rPr>
              <w:t>Management fees (entirely through related parties transactions)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(15,462)</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(14,719)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(29,805)</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(29,439)</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(4,865)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(5,099)</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(18,680)</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(18,809)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(35,455)</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(37,614)</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losses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(17,193)</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(8,145)</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(18,500)</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(16,033)</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3,413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4,899</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4,445</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(16,807</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w:t>
            </w:r>
          </w:p>
        </w:tc>
        <w:tc>
          <w:tcPr>
            <w:tcW w:w="620" w:type="dxa"/>
            <w:vAlign w:val="bottom"/>
          </w:tcPr>
          <w:p>
            <w:pPr>
              <w:jc w:val="right"/>
              <w:ind w:right="4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(16,598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(loss)/income attributable to Navios Partners unitholders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(16,807)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31,745</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11,804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54,399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39,875</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Adjusted EBITDA (1)</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32,214</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28,997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58,087</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57,068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Surplus (1)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22,350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19,434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39,917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37,718</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31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EBITDA, Adjusted EBITDA and Operating Surplus are non-GAAP financial measures. See “Reconciliation of EBITDA and Adjusted EBITDA to Net Cash from Operating Activities, EBITDA, Operating Surplus and Available Cash for Distribution” for a description of EBITDA, Adjusted EBITDA and Operating Surplus and a reconciliation of EBITDA, Adjusted EBITDA and Operating Surplus to the most comparable measure under US GAAP.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over Period Comparisons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 Period ended June 30, 2017 compared to the Three Month Period ended June 30, 2016</w:t>
      </w:r>
    </w:p>
    <w:p>
      <w:pPr>
        <w:spacing w:after="0" w:line="117"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Time charter and voyage revenues: </w:t>
      </w:r>
      <w:r>
        <w:rPr>
          <w:rFonts w:ascii="Arial" w:cs="Arial" w:eastAsia="Arial" w:hAnsi="Arial"/>
          <w:sz w:val="16"/>
          <w:szCs w:val="16"/>
          <w:color w:val="auto"/>
        </w:rPr>
        <w:t>Time charter and voyage revenues from Navios Partners for the three month period ended June 30, 2017 increased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$2.0 million or 4.5% to $46.9 million, as compared to $44.9 million for the same period in 2016. The increase was mainly attributable to the increase in TCE to $16,498 per day for the three month period ended June 30, 2017, from $16,005 per day for the three month period ended June 30, 2016, due to the increase in the freight market in the second quarter of 2017, as compared to the same period in 2016. The available days of the fleet increased to 2,844 days for the three month period ended June 30, 2017, as compared to 2,821 days for the three month period ended June 30, 2016.</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Time charter and voyage revenues from Navios Containers for the period from April 28, 2017 (date of inception) to June 30, 2017 amounted to $3.1 million. Available days of the fleet were 115 days for the period from April 28, 2017 (date of inception) to June 30, 2017 and TCE for the period amounted to $26,968.</w:t>
      </w:r>
    </w:p>
    <w:p>
      <w:pPr>
        <w:spacing w:after="0" w:line="17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Time charter and voyage expenses: </w:t>
      </w:r>
      <w:r>
        <w:rPr>
          <w:rFonts w:ascii="Arial" w:cs="Arial" w:eastAsia="Arial" w:hAnsi="Arial"/>
          <w:sz w:val="18"/>
          <w:szCs w:val="18"/>
          <w:color w:val="auto"/>
        </w:rPr>
        <w:t>Time charter and voyage expenses for the three month period ended June 30, 2017 decreased by $2.0 million or 100%</w:t>
      </w:r>
      <w:r>
        <w:rPr>
          <w:rFonts w:ascii="Arial" w:cs="Arial" w:eastAsia="Arial" w:hAnsi="Arial"/>
          <w:sz w:val="18"/>
          <w:szCs w:val="18"/>
          <w:b w:val="1"/>
          <w:bCs w:val="1"/>
          <w:color w:val="auto"/>
        </w:rPr>
        <w:t xml:space="preserve"> </w:t>
      </w:r>
      <w:r>
        <w:rPr>
          <w:rFonts w:ascii="Arial" w:cs="Arial" w:eastAsia="Arial" w:hAnsi="Arial"/>
          <w:sz w:val="18"/>
          <w:szCs w:val="18"/>
          <w:color w:val="auto"/>
        </w:rPr>
        <w:t>to $0, as compared to $2.0 million for the three month period ended June 30, 2016.</w:t>
      </w:r>
    </w:p>
    <w:p>
      <w:pPr>
        <w:sectPr>
          <w:pgSz w:w="11900" w:h="16838" w:orient="portrait"/>
          <w:cols w:equalWidth="0" w:num="1">
            <w:col w:w="11360"/>
          </w:cols>
          <w:pgMar w:left="240" w:top="459" w:right="299" w:bottom="1440" w:gutter="0" w:footer="0" w:header="0"/>
        </w:sectPr>
      </w:pP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459" w:right="2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Direct vessel expenses: </w:t>
      </w:r>
      <w:r>
        <w:rPr>
          <w:rFonts w:ascii="Arial" w:cs="Arial" w:eastAsia="Arial" w:hAnsi="Arial"/>
          <w:sz w:val="16"/>
          <w:szCs w:val="16"/>
          <w:color w:val="auto"/>
        </w:rPr>
        <w:t>Direct vessel expenses, comprising of the amortization of dry dock and special survey costs of certain vessels in our fleet, amounted</w:t>
      </w:r>
      <w:r>
        <w:rPr>
          <w:rFonts w:ascii="Arial" w:cs="Arial" w:eastAsia="Arial" w:hAnsi="Arial"/>
          <w:sz w:val="16"/>
          <w:szCs w:val="16"/>
          <w:b w:val="1"/>
          <w:bCs w:val="1"/>
          <w:color w:val="auto"/>
        </w:rPr>
        <w:t xml:space="preserve"> </w:t>
      </w:r>
      <w:r>
        <w:rPr>
          <w:rFonts w:ascii="Arial" w:cs="Arial" w:eastAsia="Arial" w:hAnsi="Arial"/>
          <w:sz w:val="16"/>
          <w:szCs w:val="16"/>
          <w:color w:val="auto"/>
        </w:rPr>
        <w:t>to $1.6 million for the three month period ended June 30, 2017, as compared to $1.5 million for the three month period ended June 30, 2016.</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Management fees: </w:t>
      </w:r>
      <w:r>
        <w:rPr>
          <w:rFonts w:ascii="Arial" w:cs="Arial" w:eastAsia="Arial" w:hAnsi="Arial"/>
          <w:sz w:val="16"/>
          <w:szCs w:val="16"/>
          <w:color w:val="auto"/>
        </w:rPr>
        <w:t>Management fees for the three month period ended June 30, 2017, increased by $0.7 million or 5.0% to $15.5 million, as compared to</w:t>
      </w:r>
    </w:p>
    <w:p>
      <w:pPr>
        <w:spacing w:after="0" w:line="5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$14.7 million for the same period in 2016. The increase was attributable to the management fees of Navios Containers included for the period from April 28, 2017 (date of inception) to June 30, 2017 that amounted to $0.7 million.</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General and administrative expenses: </w:t>
      </w:r>
      <w:r>
        <w:rPr>
          <w:rFonts w:ascii="Arial" w:cs="Arial" w:eastAsia="Arial" w:hAnsi="Arial"/>
          <w:sz w:val="17"/>
          <w:szCs w:val="17"/>
          <w:color w:val="auto"/>
        </w:rPr>
        <w:t>General and administrative expenses increased by $2.3 million or 86.3% to $4.9 million for the three 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2017, as compared to $2.6 million for the three month period ended June 30, 2016. The increase was mainly due to: (i) a $0.1 million general and administrative expenses of Navios Containers included for the period from April 28, 2017 (date of inception) to June 30, 2017; (ii) a $1.7 million increase in legal and professional fees, as well as audit fees; and (iii) a $0.5 million related to equity compensation expense.</w:t>
      </w:r>
    </w:p>
    <w:p>
      <w:pPr>
        <w:spacing w:after="0" w:line="165"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amounted to $18.7 million for the three month period ended June 30, 2017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$18.8 million for the three month period ended June 30, 2016. The decrease of $0.1 million was mainly attributable to: (i) a $1.3 million decrease in depreciation expense due to the sale of the MSC Cristina in the second quarter of 2016 and the sale of Navios Apollon in the second quarter of 2017; and</w:t>
      </w:r>
    </w:p>
    <w:p>
      <w:pPr>
        <w:spacing w:after="0" w:line="2" w:lineRule="exact"/>
        <w:rPr>
          <w:sz w:val="20"/>
          <w:szCs w:val="20"/>
          <w:color w:val="auto"/>
        </w:rPr>
      </w:pPr>
    </w:p>
    <w:p>
      <w:pPr>
        <w:ind w:firstLine="8"/>
        <w:spacing w:after="0" w:line="288"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a $1.2 million decrease in amortization of the intangible for the Navios Luz and the Navios Buena Ventura which were written off during the third quarter of 2016. The above decrease was partially mitigated by: (i) a $1.3 amortization expense of Navios Containers intangibles for the period from April 28, 2017 (date of inception) to June 30, 2017 million; (ii) a $0.2 million increase in depreciation expense due to the delivery of the Navios Beaufiks in the fourth quarter of 2016; (iii) a $0.1 million increase in depreciation expense due to the delivery of the Navios Prosperity I and the Navios Ace in the second quarter of 2017; and (iv) a $0.8 million increase in amortization of the intangibles for the five MOL Container vessels for the period from May 25, 2017 to June 8, 2017. Depreciation of vessels is calculated using an estimated useful life of 25 and 30 years for drybulk and container vessels, respectively, from the date the vessel was originally delivered from the shipyard. Intangible assets are amortized over the contract periods, which range from one to ten years.</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Interest expense and finance cost, net: </w:t>
      </w:r>
      <w:r>
        <w:rPr>
          <w:rFonts w:ascii="Arial" w:cs="Arial" w:eastAsia="Arial" w:hAnsi="Arial"/>
          <w:sz w:val="18"/>
          <w:szCs w:val="18"/>
          <w:color w:val="auto"/>
        </w:rPr>
        <w:t>Interest expense and finance cost, net for the three month period ended June 30, 2017 decreased by $0.2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2.7% to $8.1 million, as compared to $8.4 million for the three month period ended June 30, 2016. The decrease was mainly due to the decrease of the Navios Partners’ average loan balance to $445.5 million for the three month period ended June 30, 2017 as compared to $553.1 million for the same period of 2016. The decrease was partially mitigated by the increase in the Navios Partners’ weighted average interest rate of 5.87% for the three month period ended June 30, 2017 as compared to 4.59% for the same period in 2016.</w:t>
      </w:r>
    </w:p>
    <w:p>
      <w:pPr>
        <w:spacing w:after="0" w:line="18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increased by $0.7 million to $0.8 million for the three month period ended June 30, 2017, as compared to $0.1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 period ended June 30, 2016.</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Other income for the three month period ended June 30, 2017 amounted to $2.9 million compared to $3.4 million for the three 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2016.</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for the three month period ended June 30, 2017 amounted to $0.5 million compared to $0 for the three month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2016.</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Net (loss)/income: </w:t>
      </w:r>
      <w:r>
        <w:rPr>
          <w:rFonts w:ascii="Arial" w:cs="Arial" w:eastAsia="Arial" w:hAnsi="Arial"/>
          <w:sz w:val="18"/>
          <w:szCs w:val="18"/>
          <w:color w:val="auto"/>
        </w:rPr>
        <w:t>Net income for the three month period ended June 30, 2017 amounted to $4.4 million compared to $(16.8) million for the three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30, 2016. The increase in net income of $21.3 million was due to the factors discussed above.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Net Income Attributable to the noncontrolling interest: </w:t>
      </w:r>
      <w:r>
        <w:rPr>
          <w:rFonts w:ascii="Arial" w:cs="Arial" w:eastAsia="Arial" w:hAnsi="Arial"/>
          <w:sz w:val="18"/>
          <w:szCs w:val="18"/>
          <w:color w:val="auto"/>
        </w:rPr>
        <w:t>Net income attributable to the noncontrolling interest amounted to $0.4 million for the three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30,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surplus: </w:t>
      </w:r>
      <w:r>
        <w:rPr>
          <w:rFonts w:ascii="Arial" w:cs="Arial" w:eastAsia="Arial" w:hAnsi="Arial"/>
          <w:sz w:val="17"/>
          <w:szCs w:val="17"/>
          <w:color w:val="auto"/>
        </w:rPr>
        <w:t>Navios Partners generated Operating Surplus for the three month period ended June 30, 2017 of $22.4 million, as compared to</w:t>
      </w:r>
    </w:p>
    <w:p>
      <w:pPr>
        <w:spacing w:after="0" w:line="3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$19.4 million for the three month period ended June 30, 2016. Operating Surplus is a non-GAAP financial measure used by certain investors to assist in evaluating a partnership’s ability to make quarterly cash distributions (See “Reconciliation of EBITDA and Adjusted EBITDA to Net Cash from Operating Activities, EBITDA, Operating Surplus and Available Cash for Distribution” contained herein).</w:t>
      </w:r>
    </w:p>
    <w:p>
      <w:pPr>
        <w:spacing w:after="0" w:line="18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Seasonality: </w:t>
      </w:r>
      <w:r>
        <w:rPr>
          <w:rFonts w:ascii="Arial" w:cs="Arial" w:eastAsia="Arial" w:hAnsi="Arial"/>
          <w:sz w:val="18"/>
          <w:szCs w:val="18"/>
          <w:color w:val="auto"/>
        </w:rPr>
        <w:t>Since Navios Partners’ vessels generally operate under long-term charters, the results of operations are not generally subject to the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seasonable variations in demand.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 Period ended June 30, 2017 compared to the Six Month Period ended June 30, 2016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Time charter and voyage revenues: </w:t>
      </w:r>
      <w:r>
        <w:rPr>
          <w:rFonts w:ascii="Arial" w:cs="Arial" w:eastAsia="Arial" w:hAnsi="Arial"/>
          <w:sz w:val="16"/>
          <w:szCs w:val="16"/>
          <w:color w:val="auto"/>
        </w:rPr>
        <w:t>Time charter and voyage revenues from Navios Partners for the six month period ended June 30, 2017 decreased by</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$1.2 million or 1.3% to $89.3 million, as compared to $90.5 million for the same period in 2016. The decrease was mainly attributable to the decrease in TCE to $15,593 per day for the six month period ended June 30, 2017, from $15,764 per day for the six month period ended June 30, 2016, mainly due to the sale of the MSC Cristina in January 2017. The available days of the fleet decreased to 5,639 days for the six month period ended June 30, 2017, as compared to 5,642 days for the six month period ended June 30, 2016.</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Time charter and voyage revenues from Navios Containers for the period from April 28, 2017 (date of inception) to June 30, 2017 amounted to $3.1 million. Available days of the fleet were 115 days for the period from April 28, 2017 (date of inception) to June 30, 2017 and TCE for the period amounted to $26,968.</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Time charter and voyage expenses: </w:t>
      </w:r>
      <w:r>
        <w:rPr>
          <w:rFonts w:ascii="Arial" w:cs="Arial" w:eastAsia="Arial" w:hAnsi="Arial"/>
          <w:sz w:val="18"/>
          <w:szCs w:val="18"/>
          <w:color w:val="auto"/>
        </w:rPr>
        <w:t>Time charter and voyage expenses for the six month period ended June 30, 2017 decreased by $2.4 million or 63.1% to</w:t>
      </w:r>
      <w:r>
        <w:rPr>
          <w:rFonts w:ascii="Arial" w:cs="Arial" w:eastAsia="Arial" w:hAnsi="Arial"/>
          <w:sz w:val="18"/>
          <w:szCs w:val="18"/>
          <w:b w:val="1"/>
          <w:bCs w:val="1"/>
          <w:color w:val="auto"/>
        </w:rPr>
        <w:t xml:space="preserve"> </w:t>
      </w:r>
      <w:r>
        <w:rPr>
          <w:rFonts w:ascii="Arial" w:cs="Arial" w:eastAsia="Arial" w:hAnsi="Arial"/>
          <w:sz w:val="18"/>
          <w:szCs w:val="18"/>
          <w:color w:val="auto"/>
        </w:rPr>
        <w:t>$1.4 million, as compared to $3.8 million for the six month period ended June 30, 2016.</w:t>
      </w:r>
    </w:p>
    <w:p>
      <w:pPr>
        <w:spacing w:after="0" w:line="162"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 xml:space="preserve">Direct vessel expenses: </w:t>
      </w:r>
      <w:r>
        <w:rPr>
          <w:rFonts w:ascii="Arial" w:cs="Arial" w:eastAsia="Arial" w:hAnsi="Arial"/>
          <w:sz w:val="17"/>
          <w:szCs w:val="17"/>
          <w:color w:val="auto"/>
        </w:rPr>
        <w:t>Direct vessel expenses, comprising of the amortization of dry dock and special survey costs of certain vessels in our fleet, amounted</w:t>
      </w:r>
      <w:r>
        <w:rPr>
          <w:rFonts w:ascii="Arial" w:cs="Arial" w:eastAsia="Arial" w:hAnsi="Arial"/>
          <w:sz w:val="17"/>
          <w:szCs w:val="17"/>
          <w:b w:val="1"/>
          <w:bCs w:val="1"/>
          <w:color w:val="auto"/>
        </w:rPr>
        <w:t xml:space="preserve"> </w:t>
      </w:r>
      <w:r>
        <w:rPr>
          <w:rFonts w:ascii="Arial" w:cs="Arial" w:eastAsia="Arial" w:hAnsi="Arial"/>
          <w:sz w:val="17"/>
          <w:szCs w:val="17"/>
          <w:color w:val="auto"/>
        </w:rPr>
        <w:t>to $3.3 million for the six month period ended June 30, 2017, as compared to $3.0 million for the six month period ended June 30, 2016.</w:t>
      </w:r>
    </w:p>
    <w:p>
      <w:pPr>
        <w:spacing w:after="0" w:line="13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Management fees: </w:t>
      </w:r>
      <w:r>
        <w:rPr>
          <w:rFonts w:ascii="Arial" w:cs="Arial" w:eastAsia="Arial" w:hAnsi="Arial"/>
          <w:sz w:val="18"/>
          <w:szCs w:val="18"/>
          <w:color w:val="auto"/>
        </w:rPr>
        <w:t>Management fees for the six month period ended June 30, 2017, increased by $0.4 million or 1.2% to $29.8 million,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$29.4 million for the same period in 2016. The increase was attributable to the acquisition of the Navios Beaufiks and $0.7 million management fees from Navios Containers included for the period from April 28, 2017 (date of inception) to June 30, 2017. The increase was partially mitigated by the sale of the MSC Cristina in January 2017 and the Navios Apollon in April 2017.</w:t>
      </w:r>
    </w:p>
    <w:p>
      <w:pPr>
        <w:spacing w:after="0" w:line="180"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General and administrative expenses: </w:t>
      </w:r>
      <w:r>
        <w:rPr>
          <w:rFonts w:ascii="Arial" w:cs="Arial" w:eastAsia="Arial" w:hAnsi="Arial"/>
          <w:sz w:val="17"/>
          <w:szCs w:val="17"/>
          <w:color w:val="auto"/>
        </w:rPr>
        <w:t>General and administrative expenses increased by $3.0 million or 58.4% to $8.1 million for the six 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2017, as compared to $5.1 million for the six month period ended June 30, 2016. The increase was mainly due to: (i) $0.1 million general and administrative expenses of Navios Containers included for the period from April 28, 2017 (date of inception) to June 30, 2017; (ii) a $1.9 million increase in legal and professional fees, as well as audit fees; and (iii) $0.9 million related to equity compensation expense.</w:t>
      </w:r>
    </w:p>
    <w:p>
      <w:pPr>
        <w:spacing w:after="0" w:line="16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amounted to $35.5 million for the six month period ended June 30, 2017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$37.6 million for the six month period ended June 30, 2016. The decrease of $2.2 million was mainly attributable to: (i) a $2.5 million decrease in depreciation expense due to the sale of the MSC Cristina in the first quarter of 2017 and the sale of Navios Apollon in April 2017 and (ii) a $2.5 million decrease in amortization of the intangible for the Navios Luz and the Navios Buena Ventura which were written off during the third quarter of 2016. The above decrease was partially mitigated by: (i) a $1.3 million amortization expense of Navios Containers intangibles for the period from April 28, 2017 (date of inception) to June 30, 2017; (ii) a $0.3 million increase in depreciation expense due to the delivery of the Navios Beaufiks in the fourth quarter of 2016;</w:t>
      </w:r>
    </w:p>
    <w:p>
      <w:pPr>
        <w:spacing w:after="0" w:line="4" w:lineRule="exact"/>
        <w:rPr>
          <w:sz w:val="20"/>
          <w:szCs w:val="20"/>
          <w:color w:val="auto"/>
        </w:rPr>
      </w:pPr>
    </w:p>
    <w:p>
      <w:pPr>
        <w:ind w:firstLine="8"/>
        <w:spacing w:after="0" w:line="25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$0.1 million increase in depreciation expense due to the delivery of the Navios Prosperity I and the Navios Ace in the second quarter of 2017; and (iv) a $0.8 million increase in amortization of the intangibles for the five Container vessels from Rickmers Trust. Depreciation of vessels is calculated using an estimated useful life of 25 and 30 years for drybulk and container vessels, respectively, from the date the vessel was originally delivered from the shipyard. Intangible assets are amortized over the contract periods, which range from one to ten years.</w:t>
      </w:r>
    </w:p>
    <w:p>
      <w:pPr>
        <w:spacing w:after="0" w:line="18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Vessel impairment losses: </w:t>
      </w:r>
      <w:r>
        <w:rPr>
          <w:rFonts w:ascii="Arial" w:cs="Arial" w:eastAsia="Arial" w:hAnsi="Arial"/>
          <w:sz w:val="18"/>
          <w:szCs w:val="18"/>
          <w:color w:val="auto"/>
        </w:rPr>
        <w:t>An impairment loss of $17.2 million was recorded in relation to the MSC Cristina which was held for sale as of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2016.</w:t>
      </w:r>
    </w:p>
    <w:p>
      <w:pPr>
        <w:spacing w:after="0" w:line="162"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Interest expense and finance cost, net: </w:t>
      </w:r>
      <w:r>
        <w:rPr>
          <w:rFonts w:ascii="Arial" w:cs="Arial" w:eastAsia="Arial" w:hAnsi="Arial"/>
          <w:sz w:val="16"/>
          <w:szCs w:val="16"/>
          <w:color w:val="auto"/>
        </w:rPr>
        <w:t>Interest expense and finance cost, net for the six month period ended June 30, 2017 increased by $2.5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15.4% to $18.5 million, as compared to $16.0 million for the six month period ended June 30, 2016. The increase was mainly due to the increase in the Navios Partners’ weighted average interest rate of 5.61% for the six month period ended June 30, 2017 as compared to 4.60% for the same period in 2016.</w:t>
      </w:r>
    </w:p>
    <w:p>
      <w:pPr>
        <w:spacing w:after="0" w:line="14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Interest income increased by $1.2 million to $1.3 million for the six month period ended June 30, 2017, as compared to $0.2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 period ended June 30, 2016.</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Other income for the six month periods ended June 30, 2017 amounted to $6.1 million compared to $4.9 million for the six month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2016.</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expense: </w:t>
      </w:r>
      <w:r>
        <w:rPr>
          <w:rFonts w:ascii="Arial" w:cs="Arial" w:eastAsia="Arial" w:hAnsi="Arial"/>
          <w:sz w:val="17"/>
          <w:szCs w:val="17"/>
          <w:color w:val="auto"/>
        </w:rPr>
        <w:t>Other expense for the six month period ended June 30, 2017 amounted to $4.4 million compared to $0 for the six month period ended</w:t>
      </w:r>
    </w:p>
    <w:p>
      <w:pPr>
        <w:spacing w:after="0" w:line="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June 30, 2016. The increase of $4.4 million was mainly attributable to: (i) a $1.5 million allowance for doubtful accounts; (ii) a $1.3 million loss related to the disposal of the MSC Cristina; and (iii) an increase in voyage related expenses.</w:t>
      </w:r>
    </w:p>
    <w:p>
      <w:pPr>
        <w:spacing w:after="0" w:line="18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Net (loss)/ income: </w:t>
      </w:r>
      <w:r>
        <w:rPr>
          <w:rFonts w:ascii="Arial" w:cs="Arial" w:eastAsia="Arial" w:hAnsi="Arial"/>
          <w:sz w:val="18"/>
          <w:szCs w:val="18"/>
          <w:color w:val="auto"/>
        </w:rPr>
        <w:t>Net loss for the six month period ended June 30, 2017 amounted to $(1.2) million compared to $(16.6) million for the six 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2016. The decrease in net loss of $15.4 million was due to the factors discussed above.</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Net Income Attributable to the noncontrolling interest: </w:t>
      </w:r>
      <w:r>
        <w:rPr>
          <w:rFonts w:ascii="Arial" w:cs="Arial" w:eastAsia="Arial" w:hAnsi="Arial"/>
          <w:sz w:val="18"/>
          <w:szCs w:val="18"/>
          <w:color w:val="auto"/>
        </w:rPr>
        <w:t>Net income attributable to the noncontrolling interest amounted to $0.4 million for the six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30,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surplus: </w:t>
      </w:r>
      <w:r>
        <w:rPr>
          <w:rFonts w:ascii="Arial" w:cs="Arial" w:eastAsia="Arial" w:hAnsi="Arial"/>
          <w:sz w:val="17"/>
          <w:szCs w:val="17"/>
          <w:color w:val="auto"/>
        </w:rPr>
        <w:t>Navios Partners generated Operating Surplus for the six month period ended June 30, 2017 of $39.9 million, as compared to</w:t>
      </w:r>
    </w:p>
    <w:p>
      <w:pPr>
        <w:spacing w:after="0" w:line="3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$37.7 million for the six month period ended June 30, 2016. Operating Surplus is a non-GAAP financial measure used by certain investors to assist in evaluating a partnership’s ability to make quarterly cash distributions (See “Reconciliation of EBITDA and Adjusted EBITDA to Net Cash from Operating Activities, EBITDA, Operating Surplus and Available Cash for Distribution” contained herein).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Seasonality: </w:t>
      </w:r>
      <w:r>
        <w:rPr>
          <w:rFonts w:ascii="Arial" w:cs="Arial" w:eastAsia="Arial" w:hAnsi="Arial"/>
          <w:sz w:val="18"/>
          <w:szCs w:val="18"/>
          <w:color w:val="auto"/>
        </w:rPr>
        <w:t>Since Navios Partners’ vessels generally operate under long-term charters, the results of operations are not generally subject to the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seasonable variations in demand.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to distributions on our units, our primary short-term liquidity needs are to fund general working capital requirements, cash reserve requirements including those under our credit facilities and debt service, while our long-term liquidity needs primarily relate to expansion and investment capital expenditures and other maintenance capital expenditures and debt repayment. Expansion capital expenditures are primarily for the purchase or construction of vessels to the extent the expenditures increase the operating capacity of or revenue generated by our fleet, while maintenance capital expenditures primarily consist of drydocking expenditures and expenditures to replace vessels in order to maintain the operating capacity of or revenue generated by our fleet. Investment capital expenditures are those capital expenditures that are neither maintenance capital expenditures nor expansion capital expenditures. We anticipate that our primary sources of funds for our short-term liquidity needs will be cash flows from operations, proceeds from asset sales and bank borrowings. As of June 30, 2017, Navios Partners’ consolidated current assets totaled $134.1 million, while consolidated current liabilities totaled</w:t>
      </w:r>
    </w:p>
    <w:p>
      <w:pPr>
        <w:spacing w:after="0" w:line="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$68.6 million, resulting in a positive working capital position of $65.5 million. In March 2017, Navios Partners completed its public offering of 47,795,000 common units at $2.10 per unit and raised gross proceeds of approximately $100.3 million. In January 2017, Navios Partners sold the MSC Cristina to an unrelated third party for a total net sale price of $125.0 million and repaid the balance of the April 2015 Credit Facility, as defined herein, of $71.0 million and the balance of the June 2016 Credit Facility, as defined herein, of $29.0 million. In April 2017, Navios Partners sold the Navios Apollon to an unrelated third party for a total net sale price of $4.8 million. In June 2017, Navios Partners completed the acquisition of Navios Prosperity I and the Navios Ace for a total purchase price $45.0 million. Generally, our long-term sources of funds derive from cash from operations, long-term bank borrowings and other debt or equity financings to fund acquisitions and expansion and investment capital expenditures, including opportunities we may pursue under the Omnibus Agreement. We cannot assure you that we will be able to raise the size of our credit facilities or be able to obtain additional funds on favorable terms.</w:t>
      </w:r>
    </w:p>
    <w:p>
      <w:pPr>
        <w:spacing w:after="0" w:line="13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Cash deposits and cash equivalents in excess of amounts covered by government provided insurance are exposed to loss in the event of non-performance by financial institutions. Navios Partners does maintain cash deposits and equivalents in excess of government provided insurance limits. Navios Partners also minimizes exposure to credit risk by dealing with a diversified group of major financial institutions.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2017, the total borrowings, net under the Navios Partners’ credit facilities, including Navios Containers’ credit facilities, were $475.0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Partners</w:t>
      </w:r>
    </w:p>
    <w:p>
      <w:pPr>
        <w:spacing w:after="0" w:line="11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Term Loan B Credit Facility: </w:t>
      </w:r>
      <w:r>
        <w:rPr>
          <w:rFonts w:ascii="Arial" w:cs="Arial" w:eastAsia="Arial" w:hAnsi="Arial"/>
          <w:sz w:val="18"/>
          <w:szCs w:val="18"/>
          <w:color w:val="auto"/>
        </w:rPr>
        <w:t>In June 2013, Navios Partners completed the issuance of the $250.0 million Term Loan B facility. On October 31, 2013 and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 2013, Navios Partners completed the issuance of a $189.5 million add-on to its existing Term Loan B facility. The add-on to the Term Loan B facility bore the same terms as the Term Loan B facility. Navios Partners used the net proceeds of the add-on to partially finance the acquisition of five Container vessels.</w:t>
      </w:r>
    </w:p>
    <w:p>
      <w:pPr>
        <w:spacing w:after="0" w:line="15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March 14, 2017, Navios Partners completed the issuance of a new $405.0 million Term Loan B facility. The new Term Loan B facility bears an interest rate of LIBOR plus 500 bps and has a three and a half year term with 5.0% amortization profile and was issued at 96.6%. The new Term Loan B facility is secured by first priority mortgages covering certain vessels owned by subsidiaries of Navios Partners, in addition to other collateral, and guaranteed by each subsidiary of Navios Partners. Navios Partners used the net proceeds of the new Term Loan B facility to: (i) to refinance its prior Term Loan B facility; and</w:t>
      </w:r>
    </w:p>
    <w:p>
      <w:pPr>
        <w:spacing w:after="0" w:line="2" w:lineRule="exact"/>
        <w:rPr>
          <w:sz w:val="20"/>
          <w:szCs w:val="20"/>
          <w:color w:val="auto"/>
        </w:rPr>
      </w:pPr>
    </w:p>
    <w:p>
      <w:pPr>
        <w:ind w:right="240" w:firstLine="8"/>
        <w:spacing w:after="0" w:line="261"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pay fees and expenses related to the new Term Loan B facility. Following the refinancing of the Term Loan B facility, an amount of $1.9 million and $1.3 million was written-off from the deferred finance fees and discount, respectively.</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Term Loan B facility was secured by first priority mortgages covering certain vessels owned by subsidiaries of Navios Partners, in addition to other collateral, and is guaranteed by each subsidiary of Navios Partners.</w:t>
      </w:r>
    </w:p>
    <w:p>
      <w:pPr>
        <w:spacing w:after="0" w:line="13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Term Loan B Agreement requires maintenance of a loan to value ratio of 0.8 to 1.0, and other restrictive covenants customary for facilities of this type (subject to negotiated exceptions and baskets), including restrictions on indebtedness, liens, acquisitions and investments, restricted payments and dispositions. The Term Loan B Agreement also provides for customary events of default, prepayment and cure provisions.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As of June 30, 2017, the outstanding balance of the Term Loan B facility was $387.3 million, net of discount of $12.6 million, and is repayable in 12 quarterly installments of $5.1 million with a final payment of $339.2 million on the last repayment date. The final maturity date is September 14, 2020.</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ABN AMRO facility: </w:t>
      </w:r>
      <w:r>
        <w:rPr>
          <w:rFonts w:ascii="Arial" w:cs="Arial" w:eastAsia="Arial" w:hAnsi="Arial"/>
          <w:sz w:val="18"/>
          <w:szCs w:val="18"/>
          <w:color w:val="auto"/>
        </w:rPr>
        <w:t>On June 23, 2016, Navios Partners entered into a new credit facility with ABN AMRO Bank N.V. (the “June 2016 Credit Facility”)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up to $30.0 million to be used for general corporate purposes of the Borrower. The June 2016 Credit Facility bore interest at LIBOR plus 400 bps per annum. The final maturity date was January 30, 2017. On January 12, 2017, Navios Partners fully repaid the June 2016 Credit Facility. As of June 30, 2017, there was no outstanding amount under this facility.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BNP Credit Facility: </w:t>
      </w:r>
      <w:r>
        <w:rPr>
          <w:rFonts w:ascii="Arial" w:cs="Arial" w:eastAsia="Arial" w:hAnsi="Arial"/>
          <w:sz w:val="17"/>
          <w:szCs w:val="17"/>
          <w:color w:val="auto"/>
        </w:rPr>
        <w:t>On June 26, 2017, Navios Partners entered into a new credit facility with BNP PARIBAS (the “June 2017 Credit Facility”) of up to</w:t>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$32.0 million (divided into two tranches) in order to finance a portion of the purchase price payable in connection with the acquisition of the Navios Ace and the Navios Sol. On June 28, 2017, the first tranche of June 2017 Credit Facility of $17.0 million was drawn. The first tranche will be repayable in 16 equal consecutive quarterly installments of $0.4 million each, with a final balloon payment of $10.8 million to be repaid on the last repayment date. The facility matures in the second quarter of 2021 and bears interest at LIBOR plus 300 bps per annum. As of June 30, 2017, the outstanding balance of the June 2017 Credit facility was $17.0 million.</w:t>
      </w:r>
    </w:p>
    <w:p>
      <w:pPr>
        <w:spacing w:after="0" w:line="14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Commerzbank/DVB Credit Facility: </w:t>
      </w:r>
      <w:r>
        <w:rPr>
          <w:rFonts w:ascii="Arial" w:cs="Arial" w:eastAsia="Arial" w:hAnsi="Arial"/>
          <w:sz w:val="18"/>
          <w:szCs w:val="18"/>
          <w:color w:val="auto"/>
        </w:rPr>
        <w:t>On January 8, 2016, Navios Partners prepaid the 2016 installments in the amount of $16.2 million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Commerzbank/DVB Credit Facility (the “July 2012 Credit Facility”). On November 10, 2016, Navios Partners prepaid $28.1 million in cash for the settlement of a nominal amount of $30.2 million of the July 2012 Credit facility achieving a $2.1 million gain on debt repayment. The prepayments of 2016 of this facility were accounted for as debt modification in accordance with ASC470 </w:t>
      </w:r>
      <w:r>
        <w:rPr>
          <w:rFonts w:ascii="Arial" w:cs="Arial" w:eastAsia="Arial" w:hAnsi="Arial"/>
          <w:sz w:val="18"/>
          <w:szCs w:val="18"/>
          <w:i w:val="1"/>
          <w:iCs w:val="1"/>
          <w:color w:val="auto"/>
        </w:rPr>
        <w:t>Debt</w:t>
      </w:r>
      <w:r>
        <w:rPr>
          <w:rFonts w:ascii="Arial" w:cs="Arial" w:eastAsia="Arial" w:hAnsi="Arial"/>
          <w:sz w:val="18"/>
          <w:szCs w:val="18"/>
          <w:color w:val="auto"/>
        </w:rPr>
        <w:t>. Following these prepayments, an amount of $0.2 million was written-off from the deferred finance fees.</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28, 2017, Navios Partners enter into a new credit facility for an amount of up to $39.0 million with DVB Bank S.E. in order to refinance the existing July 2012 credit facility amounted to $32.0 million which matures in the third quarter of 2017 and an additional amount of $7.0 million to partially finance the acquisition of the Navios Prosperity I. The facility matures in the third quarter of 2020 and bears interest at LIBOR plus 310 bps per annum. As of June 30, 2017, the outstanding balance of the July 2012 Credit facility was $43.1 million.</w:t>
      </w:r>
    </w:p>
    <w:p>
      <w:pPr>
        <w:spacing w:after="0" w:line="14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HSH facility: </w:t>
      </w:r>
      <w:r>
        <w:rPr>
          <w:rFonts w:ascii="Arial" w:cs="Arial" w:eastAsia="Arial" w:hAnsi="Arial"/>
          <w:sz w:val="16"/>
          <w:szCs w:val="16"/>
          <w:color w:val="auto"/>
        </w:rPr>
        <w:t>On April 16, 2015, Navios Partners, through certain of its wholly-owned subsidiaries, entered into a term loan facility agreement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$164.0 million (divided into two tranches) with HSH Nordbank AG (the “April 2015 Credit Facility”), in order to finance a portion of the purchase price payable in connection with the acquisition of the MSC Cristina and one more super-post-panamax 13,100 TEU container vessel. On September 30, 2015, the second tranche of April 2015 Credit Facility of $83.0 million was cancelled. The final maturity date was April 20, 2022. The April 2015 Credit Facility bore interest at LIBOR plus 275 bps per annum. On January 12, 2017, Navios Partners fully repaid the April 2015 Credit Facility. Following the repayment, an amount of $0.5 million was written-off from the deferred finance fees. As of June 30, 2017, there was no outstanding amount under this facility.</w:t>
      </w:r>
    </w:p>
    <w:p>
      <w:pPr>
        <w:spacing w:after="0" w:line="11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The Navios Holdings Credit Facility: </w:t>
      </w:r>
      <w:r>
        <w:rPr>
          <w:rFonts w:ascii="Arial" w:cs="Arial" w:eastAsia="Arial" w:hAnsi="Arial"/>
          <w:sz w:val="18"/>
          <w:szCs w:val="18"/>
          <w:color w:val="auto"/>
        </w:rPr>
        <w:t>In May 2015, Navios Partners entered into a term loan facility with Navios Holdings of up to $60.0 million (the</w:t>
      </w:r>
      <w:r>
        <w:rPr>
          <w:rFonts w:ascii="Arial" w:cs="Arial" w:eastAsia="Arial" w:hAnsi="Arial"/>
          <w:sz w:val="18"/>
          <w:szCs w:val="18"/>
          <w:b w:val="1"/>
          <w:bCs w:val="1"/>
          <w:color w:val="auto"/>
        </w:rPr>
        <w:t xml:space="preserve"> </w:t>
      </w:r>
      <w:r>
        <w:rPr>
          <w:rFonts w:ascii="Arial" w:cs="Arial" w:eastAsia="Arial" w:hAnsi="Arial"/>
          <w:sz w:val="18"/>
          <w:szCs w:val="18"/>
          <w:color w:val="auto"/>
        </w:rPr>
        <w:t>“Navios Holdings Credit Facility”). The Navios Holdings Credit Facility had a margin of LIBOR plus 300 bps. The final maturity date was January 2, 2017. In April 2016, the Company drew down $21.0 million from the Navios Holdings Credit Facility, which was fully repaid during April 2016. Following this prepayment, an amount of $0.6 million was written off from the deferred finance fees. As of June 30, 2017 and December 31, 2016, there was no outstanding amount under this facility (See Note 12 — Transactions with related parties and affiliates).</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Amounts drawn under the July 2012 Credit Facility and June 2017 Credit Facility are secured by first preferred mortgages on certain Navios Partners’ vessels and other collateral and are guaranteed by the respective vessel-owning subsidiary. The Credit Facilities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Navios Holdings’ (or its affiliates) ownership in Navios Partners of at least 15.0%; and subordinating the obligations under the credit facilities to any general and administrative costs relating to the vessels, including the fixed daily fee payable under the management agreement.</w:t>
      </w:r>
    </w:p>
    <w:p>
      <w:pPr>
        <w:spacing w:after="0" w:line="137" w:lineRule="exact"/>
        <w:rPr>
          <w:sz w:val="20"/>
          <w:szCs w:val="20"/>
          <w:color w:val="auto"/>
        </w:rPr>
      </w:pPr>
    </w:p>
    <w:p>
      <w:pPr>
        <w:jc w:val="both"/>
        <w:ind w:right="400"/>
        <w:spacing w:after="0" w:line="288" w:lineRule="auto"/>
        <w:rPr>
          <w:sz w:val="20"/>
          <w:szCs w:val="20"/>
          <w:color w:val="auto"/>
        </w:rPr>
      </w:pPr>
      <w:r>
        <w:rPr>
          <w:rFonts w:ascii="Arial" w:cs="Arial" w:eastAsia="Arial" w:hAnsi="Arial"/>
          <w:sz w:val="16"/>
          <w:szCs w:val="16"/>
          <w:color w:val="auto"/>
        </w:rPr>
        <w:t>The Credit Facilities requires compliance with a number of financial covenants, including: (i) maintain a required security amount ranging over 130% to 140%; (ii) minimum free consolidated liquidity in an amount equal to at least $0.7 million per owned vessel; (iii) maintain a ratio of EBITDA to interest expense of at least 2.00:1.00; (iv) maintain a ratio of total liabilities to total assets (as defined in our credit facilities) ranging of less than 0.75; and</w:t>
      </w:r>
    </w:p>
    <w:p>
      <w:pPr>
        <w:ind w:left="5620" w:right="3420" w:hanging="5612"/>
        <w:spacing w:after="0" w:line="433"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minimum net worth to $135.0 million for the periods prior to any distributions by the Company. 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It is an event of default under the credit facility if such covenants are not complied with in accordance with the terms and subject to the prepayment or cure provision of the facility.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June 30, 2017, Navios Partners was in compliance with the financial covenants and/or the prepayment and/or the cure provisions, as applicable, in each of its credit facilities.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Containers</w:t>
      </w:r>
    </w:p>
    <w:p>
      <w:pPr>
        <w:spacing w:after="0" w:line="11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ABN AMRO BANK N.V</w:t>
      </w:r>
      <w:r>
        <w:rPr>
          <w:rFonts w:ascii="Arial" w:cs="Arial" w:eastAsia="Arial" w:hAnsi="Arial"/>
          <w:sz w:val="16"/>
          <w:szCs w:val="16"/>
          <w:color w:val="auto"/>
        </w:rPr>
        <w:t>: On June 29, 2017, Navios Containers entered into a facility agreement with ABN AMRO BANK N.V. for an amount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$40.0 million (divided in three tranches of up to $34.3 million, $3.2 and $2.5 million, respectively) to finance part of the purchase price of seven container vessels. This loan bears interest at a rate of LIBOR plus 385 basis points and commitment fee of 1.54% per annum on the undrawn loan amount effective from the date of the facility. As of June 30, 2017, the outstanding loan amount under this facility was $34.3 million and the amount to be drawn was $5.7 million. The outstanding loan amount is repayable in 6 equal quarterly installments of $3.2 million along with a final balloon payment of $15.0 million on the final repayment date falling due on either the earlier of the date falling 18 months after drawdown of the last advance or December 31, 2018.</w:t>
      </w:r>
    </w:p>
    <w:p>
      <w:pPr>
        <w:spacing w:after="0" w:line="16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July 27, 2017, Navios Containers entered into a facility agreement with the same commercial bank for an amount of up to $21.0 million (divided in seven tranches) to finance part of the purchase price of the remaining seven vessels of the fleet. This facility bears interest at a rate of LIBOR plus 400 basis points and commitment fee of 1.6% per annum on the undrawn loan amount effective from the date of the facility. The facility is repayable in 5 equal quarterly installments of $0.8 million along with a final balloon payment of $16.8 million on the last repayment date. The facility has not yet been drawn.</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Amounts drawn under the facility are secured by first priority mortgages on Navios Containers vessels. The credit facility contains a number of restrictive covenants that limit Navios Containers and/or its subsidiaries from, among other things: incurring or guaranteeing indebtedness; entering into affiliate transactions other than on arm’s length terms; charging, pledging or encumbering the vessels; changing the flag, class, management or ownership of Navios Containers’ vessels; acquiring any vessel or permitting any guarantor to acquire any further assets or make investments; purchasing or otherwise acquiring for value any shares of its capital or declaring or paying any dividends; permitting any guarantor to form or acquire any subsidiaries. The majority of credit facilities also require the vessels to comply with the ISM Code and ISPS Code and to maintain valid safety management certificates and documents of compliance at all times. Additionally, the facility requires compliance with certain financial covenants including maintenance covenants, such as loan-to-value ratio, minimum liquidity and ratio of liabilities to assets as defined in the credit facilities. It is an event of default under the credit facilities if such covenants are not complied with.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Navios Containers was in compliance with all of the covenants under each of its credit facilities.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cash flow information derived from the unaudited condensed consolidated statements of cash flows of Navios Partners for the six month periods ended June 30, 2017 and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Six Month</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Six Month</w:t>
            </w:r>
          </w:p>
        </w:tc>
      </w:tr>
      <w:tr>
        <w:trPr>
          <w:trHeight w:val="149"/>
        </w:trPr>
        <w:tc>
          <w:tcPr>
            <w:tcW w:w="6140" w:type="dxa"/>
            <w:vAlign w:val="bottom"/>
          </w:tcPr>
          <w:p>
            <w:pPr>
              <w:spacing w:after="0"/>
              <w:rPr>
                <w:sz w:val="12"/>
                <w:szCs w:val="12"/>
                <w:color w:val="auto"/>
              </w:rPr>
            </w:pPr>
          </w:p>
        </w:tc>
        <w:tc>
          <w:tcPr>
            <w:tcW w:w="12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30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Period Ended</w:t>
            </w:r>
          </w:p>
        </w:tc>
      </w:tr>
      <w:tr>
        <w:trPr>
          <w:trHeight w:val="149"/>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49"/>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9"/>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($’000)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($’000)</w:t>
            </w:r>
          </w:p>
        </w:tc>
      </w:t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(Unaudited)</w:t>
            </w:r>
          </w:p>
        </w:tc>
        <w:tc>
          <w:tcPr>
            <w:tcW w:w="34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(11,769)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(39,709)</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62,389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Cash provided by operating activities for the six month period ended June 30, 2017 as compared to the cash provided by operating activities for the six month period ended June 30, 2016:</w:t>
      </w:r>
    </w:p>
    <w:p>
      <w:pPr>
        <w:spacing w:after="0" w:line="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provided by operating activities decreased by $28.2 million to $10.5 million inflow for the six month period ended June 30, 2017, as compared to $38.7 million inflow for the same period in 2016.</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Net loss decreased by $15.4 million to a net loss of $1.2 million for the six month period ended June 30, 2017, from a net loss of $16.6 million for the six month period ended June 30, 2016. In determining net cash used in operating activities for the six month period ended June 30, 2017, net loss was adjusted for the effects of certain non-cash items, including $35.5 million depreciation and amortization, $6.2 million amortization and write-off of deferred financing cost and discount, $6.2 million non-cash accrued interest income and amortization of deferred revenue, $3.3 million amortization of deferred drydock and special survey costs, $1.5 million allowance for doubtful accounts, $1.3 million loss related to the disposal of the MSC Cristina and $0.9 million equity compensation expense. For the six month period ended June 30, 2016, net income was adjusted for the effects of certain non-cash items, including $37.6 million depreciation and amortization, $17.2 million impairment loss in relation to the sale of MSC Cristina, $2.1 million amortization and write-off of deferred finance fees and $3.0 million amortization of deferred drydock and special survey costs</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Accounts payable increased by $0.9 million, from $3.3 million at December 31, 2016, to $4.2 million at June 30, 2017. The increase was mainly attributable to an increase in bunkers’ payable of $0.3 million, an increase in legal and professional payables of $0.5 million and an increase in other payables of $0.1 million.</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Accrued expenses increased by $4.7 million, from $4.4 million at December 31, 2016, to $10.9 million at June 30, 2017. The increase was mainly due to an increase in accrued legal and professional fees of $3.1 million, an increase in accrued loan interest of $0.5 million and an increase in accrued voyage expenses of $1.1 million.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Deferred revenue primarily relates to cash received from charterers prior to it being earned. Deferred revenue, net of commissions decreased by $1.9 million from $5.1 million at December 31, 2016, to $3.7 million at June 30, 2017.</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Amounts due to related parties decreased by 11.1 million, from $11.1 million at December 31, 2016 to $0 at June 30, 2017. The decrease was mainly due to payments for drydock and special survey costs payable as of December 31, 2016.</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Amounts due from related parties amounted to $42.2 million as of June 30, 2017 and $19.6 million as of December 31, 2016. The amounts due as of each date mainly consisted of management and administrative fees and the Navios Holdings Guarantee.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payments for drydock and special survey costs incurred in the six month period ended June 30, 2017 and December 31, 2016 was $0.9 million and $0, respectively.</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Cash used in investing activities for the six month period ended June 30, 2017 as compared to the cash used in investing activities for the six month period ended June 30, 2016:</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used in investing activities increased by $11.3 million to $11.7 million outflow for the six month period ended June 30, 2017, as compared to $0.5 million outflow for the same period in 2016.</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Cash used in investing activities of $11.7 million for the six month period ended June 30, 2017 was mainly due to: (i) $109.7 million proceeds from the sale of the MSC Cristina and the Navios Apollon; (ii) a $8.6 million loan granted to Navios Europe (II) Inc. (“Navios Europe II”); (iii) a $0.3 million loan granted to Navios Europe Inc. (“Navios Europe I”); (iv) a $4.1 million payment for the transfer to Navios Partners the rights of Navios Holdings on the Navios Europe I Term Loans and Revolving Loans; (v) $2.3 million proceeds from the note receivable related to the sale of the MSC Cristina; (vi) $9.9 million deposits for the acquisition of three vessels; and (vii) $101.1 million paid for the acquisition of the Navios Ace, the Navios Prosperity I and the five Container vessels from Rickmers Trust.</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used in investing activities of $0.5 million for the six month period ended June 30, 2016 was mainly due to $0.5 million loan granted to Navios Europe II.</w:t>
      </w:r>
    </w:p>
    <w:p>
      <w:pPr>
        <w:spacing w:after="0" w:line="16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Cash provided by/ (used in) financing activities for the six month period ended June 30, 2017 as compared to cash used in financing activities for the six month period ended June 30, 2016:</w:t>
      </w:r>
    </w:p>
    <w:p>
      <w:pPr>
        <w:spacing w:after="0" w:line="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cash provided by financing activities increased by $103.3 million to $63.6 million inflow for the six month period ended June 30, 2017, as compared to $39.7 million outflow for the same period in 2016.</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used in financing activities of $63.6 million for the six month period ended June 30, 2017 was due to: (i) loan repayments of $497.1 million; (ii) a payment of $7.2 million of deferred finance fees relating to the refinancing of the Term Loan B Facility and the new Credit Facilities; and (iii) $0.1 million issuance cost relating to the transfer of Navios Europe I Loans. This overall decrease was partially offset by: (i) proceeds of $449.4 million from the Term Loan B Facility, net of discount and the new credit facilities; (ii) $98.2 million proceeds from the issuance of 47,795,000 common units and 975,408 additional general partner units, net of offering costs, related to the public offering in March, 2017; (iii) $2.6 million proceeds from the issuance of 1,200,442 common units and 24,498 additional general partner units related to the Continuous Offering Program Sales Agreement; (iv) $0.5 million issuance cost for the issuance of 266,876 additional general partner units relating to the transfer of Navios Europe I Loans; (v) a $1.0 million decrease in restricted cash related to the amounts held in retention accounts in order to service debt payments, as required by Navios Partners’ credit facilities; and (vi) $17.3 million proceeds from non controlling interest.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Cash used in financing activities of $39.7 million for the six month period ended June 30, 2016 was due to: (i) loan repayments of $73.6 million; and</w:t>
      </w:r>
    </w:p>
    <w:p>
      <w:pPr>
        <w:spacing w:after="0" w:line="35" w:lineRule="exact"/>
        <w:rPr>
          <w:sz w:val="20"/>
          <w:szCs w:val="20"/>
          <w:color w:val="auto"/>
        </w:rPr>
      </w:pPr>
    </w:p>
    <w:p>
      <w:pPr>
        <w:ind w:right="160" w:firstLine="8"/>
        <w:spacing w:after="0" w:line="277"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payment of $1.1 million of deferred finance fees relating to the June 2016 Credit Facility and Navios Holdings Credit Facility. This overall decrease was partially offset by: (i) proceeds of $29.0 million on June 23, 2016, under the June 2016 Credit Facility and (ii) a $6.0 million decrease in restricted cash related to the amounts held in retention accounts in order to service debt payments, as required by Navios Partners’ credit facilities.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Reconciliation of EBITDA and Adjusted EBITDA to Net Cash from Operating Activities, EBITDA, Operating Surplus and Available Cash for Distribution</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w:t>
            </w:r>
          </w:p>
        </w:tc>
        <w:tc>
          <w:tcPr>
            <w:tcW w:w="12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Three Month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Six Month</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Six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 2017</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 ‘000)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 ‘000)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 ‘000)</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 ‘000)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increase in operating assets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13,731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23,322</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operating liabilities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interest cost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17,175</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financing cost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89"/>
              </w:rPr>
              <w:t>Non cash accrued interest income and amortization of deferred revenue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Vessel impairment losses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Non cash accrued interest income from receivable from affiliates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on vessel disposal</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affiliates, net of dividends received</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15"/>
                <w:szCs w:val="15"/>
                <w:b w:val="1"/>
                <w:bCs w:val="1"/>
                <w:color w:val="auto"/>
              </w:rPr>
              <w:t>(1)</w:t>
            </w:r>
          </w:p>
        </w:tc>
        <w:tc>
          <w:tcPr>
            <w:tcW w:w="9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54,399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on vessel disposal</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Impairment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32,214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28,997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58,087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interest income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interest paid</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Maintenance and replacement capital expenditures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Surplus</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22,350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19,434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39,917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reserves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(39,917)</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cash for distribution</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w:t>
            </w:r>
          </w:p>
        </w:tc>
        <w:tc>
          <w:tcPr>
            <w:tcW w:w="120" w:type="dxa"/>
            <w:vAlign w:val="bottom"/>
          </w:tcPr>
          <w:p>
            <w:pPr>
              <w:spacing w:after="0"/>
              <w:rPr>
                <w:sz w:val="24"/>
                <w:szCs w:val="2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Three Month</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Six Month</w:t>
            </w:r>
          </w:p>
        </w:tc>
        <w:tc>
          <w:tcPr>
            <w:tcW w:w="10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Six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 Ended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 2017</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 ‘000)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 ‘000)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 ‘000)</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 ‘000)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(109,814)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 (used in) financing activities</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(23,255)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(39,709)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EBITDA represents net income before interest and finance costs, before depreciation and amortization (including intangible accelerated amortization) and income taxes. Adjusted EBITDA represents EBITDA before equity compensation expense, loss on sale of vessel, vessel impairment loss and allowance for doubtful accounts. We use Adjusted EBITDA as a liquidity measure and reconcile EBITDA and Adjusted EBITDA to net cash provided by/ (used in) operating activities, the most comparable U.S. GAAP liquidity measure. EBITDA in this document is calculated as follows: net cash provided by/(used in) operating activities adding back, when applicable and as the case may be, the effect of: (i) net increase/(decrease) in operating assets; (ii) net (increase)/decrease in operating liabilities; (iii) net interest cost; (iv) amortization and write-off of deferred finance charges and other related expenses;</w:t>
      </w:r>
    </w:p>
    <w:p>
      <w:pPr>
        <w:spacing w:after="0" w:line="5"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allowance for doubtful accounts; (vi) equity in earnings of affiliates, net of dividends received; (vii) payments for drydock and special survey costs;</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gain/(loss) on sale of assets/subsidiaries; (ix) impairment charges; (x) non cash accrued interest income and amortization of deferred revenue;</w:t>
      </w:r>
    </w:p>
    <w:p>
      <w:pPr>
        <w:spacing w:after="0" w:line="20" w:lineRule="exact"/>
        <w:rPr>
          <w:rFonts w:ascii="Arial" w:cs="Arial" w:eastAsia="Arial" w:hAnsi="Arial"/>
          <w:sz w:val="17"/>
          <w:szCs w:val="17"/>
          <w:color w:val="auto"/>
        </w:rPr>
      </w:pPr>
    </w:p>
    <w:p>
      <w:pPr>
        <w:ind w:right="40" w:firstLine="8"/>
        <w:spacing w:after="0" w:line="271" w:lineRule="auto"/>
        <w:tabs>
          <w:tab w:leader="none" w:pos="305" w:val="left"/>
        </w:tabs>
        <w:numPr>
          <w:ilvl w:val="0"/>
          <w:numId w:val="16"/>
        </w:numPr>
        <w:rPr>
          <w:rFonts w:ascii="Arial" w:cs="Arial" w:eastAsia="Arial" w:hAnsi="Arial"/>
          <w:sz w:val="17"/>
          <w:szCs w:val="17"/>
          <w:color w:val="auto"/>
        </w:rPr>
      </w:pPr>
      <w:r>
        <w:rPr>
          <w:rFonts w:ascii="Arial" w:cs="Arial" w:eastAsia="Arial" w:hAnsi="Arial"/>
          <w:sz w:val="17"/>
          <w:szCs w:val="17"/>
          <w:color w:val="auto"/>
        </w:rPr>
        <w:t>gain/(loss) on debt repayments and (xii) equity compensation expense. Navios Partners believes that EBITDA and Adjusted EBITDA are each the basis upon which liquidity can be assessed and presents useful information to investors regarding Navios Partners’ ability to service and/or incur indebtedness, pay capital expenditures, meet working capital requirements and make cash distributions. Navios Partners also believes that EBITDA and Adjusted EBITDA are used: (i) by potential lenders to evaluate potential transactions; (ii) to evaluate and price potential acquisition candidates; and (iii) by securities analysts, investors and other interested parties in the evaluation of companies in our industry.</w:t>
      </w:r>
    </w:p>
    <w:p>
      <w:pPr>
        <w:spacing w:after="0" w:line="1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EBITDA and Adjusted EBITDA have limitations as an analytical tool, and should not be considered in isolation or as a substitute for the analysis of Navios Partners’ results as reported under U.S. GAAP. Some of these limitations are: (i) EBITDA and Adjusted EBITDA do not reflect changes in, or cash requirements for, working capital needs; and (ii) although depreciation and amortization are non-cash charges, the assets being depreciated and amortized may have to be replaced in the future. EBITDA and Adjusted EBITDA do not reflect any cash requirements for such capital expenditures. Because of these limitations, EBITDA and Adjusted EBITDA should not be considered as a principal indicator of Navios Partners’ performance. Furthermore, our calculation of EBITDA and Adjusted EBITDA may not be comparable to that reported by other companies due to differences in methods of calculation.</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EBITDA of Navios Partners for the three months ended June 30, 2017 was negatively affected by the accounting effect of a $0.5 million equity compensation expense. Excluding this item, Adjusted EBITDA increased by $1.3 million to $30.3 million for the three months ended June 30, 2017, as compared to $29.0 million for the same period in 2016. The increase in Adjusted EBITDA was primarily due to a: (i) $2.0 million increase in revenue; and (ii) $2.0 million decrease in time charter and voyage expenses. The above increase was partially mitigated by a: (i) $1.7 million increase in general and administrative expenses; (ii) $0.8 million increase in other expenses; and (iii) $0.2 million decrease in other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EBITDA of Navios Containers was $2.3 million for the period from April 28, 2017 (date of inception) to June 30, 2017.</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EBITDA of Navios Partners for the six months ended June 30, 2017 was negatively affected by the accounting effect of a: (i) $1.5 million allowance for doubtful accounts; (ii) $1.3 million loss related to the disposal of the MSC Cristina and; (iii) $0.9 million equity compensation expense. Excluding these items, Adjusted EBITDA decreased by $0.9 million to $56.2 million for the six months ended June 30, 2017, as compared to $57.1 million for the same period in 2016. The decrease in Adjusted EBITDA was primarily due to a: (i) $1.9 million increase in general and administrative expenses; (ii) $1.2 million decrease in revenue; (iii) $0.4 million increase in other expenses; and (iv) $0.2 million decrease in other income. The above decrease was partially mitigated by a: (i) $2.4 million decrease in time charter and voyage expenses; and (ii) $0.3 million decrease in management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EBITDA of Navios Containers was $2.3 million for the period from April 28, 2017 (date of inception) to June 30,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Operating Surplus represents net income adjusted for depreciation and amortization expense, non-cash interest expense, estimated maintenance and replacement capital expenditures and one-off items. Maintenance and replacement capital expenditures are those capital expenditures, estimated by the board of directors to be required to maintain over the long term the operating capacity of, or the revenue generated by, Navios Partners’ capital assets.</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Operating Surplus is a quantitative measure used in the publicly-traded partnership investment community to assist in evaluating a partnership’s ability to make quarterly cash distributions. Operating Surplus is not required by accounting principles generally accepted in the United States and should not be considered a substitute for net income, cash flow from operating activities and other operations or cash flow statement data prepared in accordance with accounting principles generally accepted in the United States or as a measure of profitability or liquidity.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Available Cash generally means, for each fiscal quarter, all cash on hand at the end of the quarter:</w:t>
      </w:r>
    </w:p>
    <w:p>
      <w:pPr>
        <w:spacing w:after="0" w:line="131"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the amount of cash reserves established by the board of directors to:</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the proper conduct of Navios Partners’ business (including reserve for maintenance and replacement capital expenditures);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applicable law, any of Navios Partners’ debt instruments, or other agreements; 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funds for distributions to the unitholders and to the general partner for any one or more of the next four quarters;</w:t>
      </w:r>
    </w:p>
    <w:p>
      <w:pPr>
        <w:spacing w:after="0" w:line="130" w:lineRule="exact"/>
        <w:rPr>
          <w:rFonts w:ascii="Arial" w:cs="Arial" w:eastAsia="Arial" w:hAnsi="Arial"/>
          <w:sz w:val="18"/>
          <w:szCs w:val="18"/>
          <w:color w:val="auto"/>
        </w:rPr>
      </w:pPr>
    </w:p>
    <w:p>
      <w:pPr>
        <w:ind w:left="440" w:right="100" w:hanging="324"/>
        <w:spacing w:after="0" w:line="264"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any revolving credit or similar agreement used solely for working capital purposes or to pay distributions to partners.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Available Cash is a quantitative measure used in the publicly traded partnership investment community to assist in evaluating a partnership’s ability to make quarterly cash distributions. Available Cash is not required by accounting principles generally accepted in the United States and should not be considered a substitute for net income, cash flow from operating activities and other operations or cash flow statement data prepared in accordance with accounting principles generally accepted in the United States or as a measure of profitability or liquidity.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Navios Partners’ and Navios Containers’ long-term third party borrowings are reflected in its balance sheet as “Long-term debt, net” and “Current portion of long-term debt, net”. As of June 30, 2017 and December 31, 2016, total debt, net amounted to $475.0 million and $523.8 million, respectively. The current portion of long-term debt, net amounted to $36.2 million at June 30, 2017 and $74.0 million at December 31,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Navios Partners and Navios Containers finance their capital expenditures with cash flow from operations, owners’ contribution, equity raisings and bank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borrowings. Capital expenditures for each of the six month periods ended June 30, 2017 and 2016 were $11.8 million and $0.5 million, respectively.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 for estimated maintenance and replacement capital expenditures for the three and six month periods ended June 30, 2017 was $3.5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$6.7 million, respectively. The reserve for estimated maintenance and replacement capital expenditures for the three and six month period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were $3.0 million and $5.9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Maintenance for our vessels and expenses related to drydocking expenses are reimbursed at cost by Navios Partners to our Manager under the amended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management agreement. In October 2011, Navios Partners extended the duration of its existing Management Agreement with the Manager until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In each of October 2013, August 2014, February 2015 and February 2016, Navios Partners amended its existing Management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Manager to fix the fees for ship management services of its owned fleet, excluding drydocking expenses, which are reimbursed at cost by Navios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 to its current rates of: (a) $4,100 daily rate per Ultra-Handymax vessel; (b) $4,200 daily rate per Panamax vessel; (c) $5,250 daily rate per Capesize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vessel; (d) $6,700 daily rate per Container vessel of TEU 6,800; (e) $7,400 daily rate per Container vessel of more than TEU 8,000; and (f) $8,750 daily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very large Container vessel of more than TEU 13,000 through December 31, 2017.</w:t>
      </w:r>
    </w:p>
    <w:p>
      <w:pPr>
        <w:spacing w:after="0" w:line="2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Pursuant to a management agreement dated June 7, 2017, the Manager provides commercial and technical management services to Navios Containers’ vessels. The term of this agreement is for an initial period of five years with an automatic extension for successive one year periods thereafter unless a notice for termination is received by either party. The fee for the ship management services provided by the Manager is a daily fee of US $6.100 per day for 4,250 TEU and 3,450 TEU container vessels. Drydocking expenses under this agreement are reimbursed by Navios Containers at cost at occurrence.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and Replacement Capital Expenditures Reserve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estimate that our annual replacement reserve for the year ending December 31, 2017 will be approximately $14.2 million, for replacing our vessels at the end of their useful lives.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amount for estimated maintenance and replacement capital expenditures attributable to future vessel replacement was based on the following assumptions: (i) current market price to purchase a five year old vessel of similar size and specifications; (ii) a 25-year useful life for drybulk vessels and a 30-year useful life for container vessels; and (iii) a relative net investment rate.</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board of directors, with the approval of the conflicts committee, may determine that one or more of our assumptions should be revised, which could cause our board of directors to increase or decrease the amount of estimated maintenance and replacement capital expenditures. The actual cost of replacing the vessels in our fleet will depend on a number of factors, including prevailing market conditions, charter hire rates and the availability and cost of financing at the time of replacement. We may elect to finance some or all of our maintenance and replacement capital expenditures through the issuance of additional common units which could be dilutive to existing unitholders.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Navios Partners has no off-balance sheet arrangements that have or are reasonably likely to have, a current or future material effect on its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Navios Partners’ and Navios Containers’ long-term contractual obligations as of June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Payments due by period (Unaudited)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9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Less than</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3-5 years</w:t>
            </w:r>
          </w:p>
        </w:tc>
        <w:tc>
          <w:tcPr>
            <w:tcW w:w="26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 year</w:t>
            </w: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Loan obligations</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80,952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370,341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494,312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Vessel deposits</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73,290</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73,290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116,309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80,952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370,341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567,602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69"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principal payments on amounts drawn on our credit facilities that bear interest at applicable fixed interest rates ranging from 2.05% to 5.0% plus LIBOR per annum. The amounts in the table exclude expected interest payments of $28.5 million (less than 1 year), $49.7 million (1-3 years), $5.2 million (3-5 years) and $0 (more than 5 years). Expected interest payments are based on outstanding principal amounts, applicable currently effective interest rates and margins as of June 30, 2017, timing of scheduled payments and the term of the debt obligations.</w:t>
      </w:r>
    </w:p>
    <w:p>
      <w:pPr>
        <w:spacing w:after="0" w:line="2" w:lineRule="exact"/>
        <w:rPr>
          <w:rFonts w:ascii="Arial" w:cs="Arial" w:eastAsia="Arial" w:hAnsi="Arial"/>
          <w:sz w:val="17"/>
          <w:szCs w:val="17"/>
          <w:color w:val="auto"/>
        </w:rPr>
      </w:pPr>
    </w:p>
    <w:p>
      <w:pPr>
        <w:ind w:left="460" w:right="30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obligations for the acquisitions of the Navios Libertas, the Navios Sol, the Navios TBN I, the Navios TBN III, which are expected to be delivered in the third quarter of 2017.</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Navios Holdings, Navios Maritime Acquisition Corporation (“Navios Acquisition”) and Navios Partners have made available to Navios Europe I revolving loans up to $24.1 million to fund working capital requirements (collectively, the “Navios Revolving Loans I”). As of June 30, 2017, the amount undrawn from the Navios Revolving Loans I was $4.8 million, of which Navios Partners may be required to fund an amount ranging from $0 to $4.8 million (See Note 12 for Transactions with related parties and affiliates).</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Navios Holdings, Navios Acquisition and Navios Partners have made available to Navios Europe II revolving loans up to $43.5 million to fund working capital requirements (collectively, the “Navios Revolving Loans II”). In March 2017, the availability under the Navios Revolving Loans II was increased by $14.0 million. As of June 30, 2017, the amount undrawn under the Navios Revolving Loans II was $15.0 million, of which Navios Partners may be required to fund an amount ranging from $0 to $15.0 million (See Note 12 for Transactions with related parties and affiliates).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Cash Distributions and Our Ability to Change Our Cash Distribution Policy</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There is no guarantee that unitholders will receive quarterly distributions from us and beginning with the quarter ending December 31, 2015, our board of directors elected to suspend distributions on our common units. Our distribution policy is subject to certain restrictions and may be changed at any time, including:</w:t>
      </w:r>
    </w:p>
    <w:p>
      <w:pPr>
        <w:spacing w:after="0" w:line="87" w:lineRule="exact"/>
        <w:rPr>
          <w:sz w:val="20"/>
          <w:szCs w:val="20"/>
          <w:color w:val="auto"/>
        </w:rPr>
      </w:pPr>
    </w:p>
    <w:p>
      <w:pPr>
        <w:ind w:left="440" w:right="200" w:hanging="324"/>
        <w:spacing w:after="0" w:line="342"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9" w:lineRule="exact"/>
        <w:rPr>
          <w:rFonts w:ascii="Arial" w:cs="Arial" w:eastAsia="Arial" w:hAnsi="Arial"/>
          <w:sz w:val="16"/>
          <w:szCs w:val="16"/>
          <w:color w:val="auto"/>
        </w:rPr>
      </w:pPr>
    </w:p>
    <w:p>
      <w:pPr>
        <w:ind w:left="440" w:right="20" w:hanging="324"/>
        <w:spacing w:after="0" w:line="276"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While our partnership agreement requires us to distribute all of our available cash, our partnership agreement, including provisions requiring us to make cash distributions contained therein, may be amended. Although during the subordination period, with certain exceptions, our partnership agreement could not have been amended without the approval of non-affiliated common unitholders, however, our partnership agreement can be amended with the approval of a majority of the outstanding common units now that the subordination period has ended. Upon the closing of the IPO, Navios Holdings did not own any of our outstanding common units and owned 100.0% of our outstanding subordinated units.</w:t>
      </w:r>
    </w:p>
    <w:p>
      <w:pPr>
        <w:spacing w:after="0" w:line="77" w:lineRule="exact"/>
        <w:rPr>
          <w:rFonts w:ascii="Arial" w:cs="Arial" w:eastAsia="Arial" w:hAnsi="Arial"/>
          <w:sz w:val="17"/>
          <w:szCs w:val="17"/>
          <w:color w:val="auto"/>
        </w:rPr>
      </w:pPr>
    </w:p>
    <w:p>
      <w:pPr>
        <w:ind w:left="440" w:right="20" w:hanging="324"/>
        <w:spacing w:after="0" w:line="308"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51" w:lineRule="exact"/>
        <w:rPr>
          <w:rFonts w:ascii="Arial" w:cs="Arial" w:eastAsia="Arial" w:hAnsi="Arial"/>
          <w:sz w:val="17"/>
          <w:szCs w:val="17"/>
          <w:color w:val="auto"/>
        </w:rPr>
      </w:pPr>
    </w:p>
    <w:p>
      <w:pPr>
        <w:ind w:left="440" w:right="20" w:hanging="324"/>
        <w:spacing w:after="0" w:line="277"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to our unitholders if the distribution would cause our liabilities to exceed the fair value of our assets.</w:t>
      </w:r>
    </w:p>
    <w:p>
      <w:pPr>
        <w:spacing w:after="0" w:line="75" w:lineRule="exact"/>
        <w:rPr>
          <w:rFonts w:ascii="Arial" w:cs="Arial" w:eastAsia="Arial" w:hAnsi="Arial"/>
          <w:sz w:val="18"/>
          <w:szCs w:val="18"/>
          <w:color w:val="auto"/>
        </w:rPr>
      </w:pPr>
    </w:p>
    <w:p>
      <w:pPr>
        <w:jc w:val="both"/>
        <w:ind w:left="440" w:right="300" w:hanging="324"/>
        <w:spacing w:after="0" w:line="264"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line="25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distribution policy is affected by restrictions on distributions under our credit facilities that we entered into in connection with the closing of the IPO. Specifically, our credit facilities contain material financial tests that must be satisfied and we will not pay any distributions that will cause us to violate our credit facilities or other debt instruments. Should we be unable to satisfy these restrictions included in our credit facilities or if we are otherwise in default under our credit facilities, our ability to make cash distributions to unitholders, notwithstanding our cash distribution policy, would be materially adversely affected.</w:t>
      </w:r>
    </w:p>
    <w:p>
      <w:pPr>
        <w:spacing w:after="0" w:line="93" w:lineRule="exact"/>
        <w:rPr>
          <w:rFonts w:ascii="Arial" w:cs="Arial" w:eastAsia="Arial" w:hAnsi="Arial"/>
          <w:sz w:val="18"/>
          <w:szCs w:val="18"/>
          <w:color w:val="auto"/>
        </w:rPr>
      </w:pPr>
    </w:p>
    <w:p>
      <w:pPr>
        <w:jc w:val="both"/>
        <w:ind w:left="440" w:right="20" w:hanging="324"/>
        <w:spacing w:after="0" w:line="26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minimum quarterly distribution and the target distribution levels. We do not anticipate that we will make any distributions from capital surplus.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funds to us. The ability of our subsidiaries to make distributions to us may be restricted by, among other things, the provisions of existing and future indebtedness, applicable partnership and limited liability company laws and other laws and regulations.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There is no guarantee that we will pay the quarterly distribution on the common units in any quarter. The amount of distributions paid under our policy and the decision to make any distribution is determined by our board of directors, taking into consideration the terms of our partnership agreement. We are prohibited from making any distributions to unitholders if it would cause an event of default, or an event of default exists, under our existing credit facilities.</w:t>
      </w:r>
    </w:p>
    <w:p>
      <w:pPr>
        <w:spacing w:after="0" w:line="14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Quarterly distributions were paid by the Company through September 2015. For the quarter ended December 31, 2015, the Company’s board of directors determined to suspend payment of the Company’s quarterly distributions in order to preserve cash and improve our liquidity. The board of directors will continue to reassess the Company’s distribution policy as the environment changes.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we have suspended payments of our quarterly cash distributions, the following description of our incentive distribution rights reflects such rights in the event the distributions are reinstated and the indicated levels are achieved, of which there can be no assurance. 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Except for transfers of incentive distribution rights to an affiliate or another entity as part of our general partner’s merger or consolidation with or into, or sale of substantially all of its assets to such entity, the approval of a majority of our common units (excluding common units held by our general partner and its affiliates), voting separately as a class, generally is required for a transfer of the incentive distribution rights to a third party prior to December 31, 2017.</w:t>
      </w:r>
    </w:p>
    <w:p>
      <w:pPr>
        <w:spacing w:after="0" w:line="1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2.0% general partner interest and assume our general partner has not transferred the incentive distribution rights.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20" w:type="dxa"/>
            <w:vAlign w:val="bottom"/>
            <w:gridSpan w:val="4"/>
          </w:tcPr>
          <w:p>
            <w:pPr>
              <w:ind w:left="260"/>
              <w:spacing w:after="0"/>
              <w:rPr>
                <w:sz w:val="20"/>
                <w:szCs w:val="20"/>
                <w:color w:val="auto"/>
              </w:rPr>
            </w:pPr>
            <w:r>
              <w:rPr>
                <w:rFonts w:ascii="Arial" w:cs="Arial" w:eastAsia="Arial" w:hAnsi="Arial"/>
                <w:sz w:val="14"/>
                <w:szCs w:val="14"/>
                <w:b w:val="1"/>
                <w:bCs w:val="1"/>
                <w:color w:val="auto"/>
              </w:rPr>
              <w:t>Marginal Percentage Interest</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Total Quarterly Distribution</w:t>
            </w:r>
          </w:p>
        </w:tc>
        <w:tc>
          <w:tcPr>
            <w:tcW w:w="16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5"/>
              </w:rPr>
              <w:t>in Distributions</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680" w:type="dxa"/>
            <w:vAlign w:val="bottom"/>
            <w:gridSpan w:val="2"/>
          </w:tcPr>
          <w:p>
            <w:pPr>
              <w:ind w:left="160"/>
              <w:spacing w:after="0" w:line="115" w:lineRule="exact"/>
              <w:rPr>
                <w:sz w:val="20"/>
                <w:szCs w:val="20"/>
                <w:color w:val="auto"/>
              </w:rPr>
            </w:pPr>
            <w:r>
              <w:rPr>
                <w:rFonts w:ascii="Arial" w:cs="Arial" w:eastAsia="Arial" w:hAnsi="Arial"/>
                <w:sz w:val="13"/>
                <w:szCs w:val="13"/>
                <w:b w:val="1"/>
                <w:bCs w:val="1"/>
                <w:color w:val="auto"/>
              </w:rPr>
              <w:t>Common</w:t>
            </w:r>
          </w:p>
        </w:tc>
        <w:tc>
          <w:tcPr>
            <w:tcW w:w="640" w:type="dxa"/>
            <w:vAlign w:val="bottom"/>
          </w:tcPr>
          <w:p>
            <w:pPr>
              <w:ind w:left="80"/>
              <w:spacing w:after="0" w:line="115" w:lineRule="exact"/>
              <w:rPr>
                <w:sz w:val="20"/>
                <w:szCs w:val="20"/>
                <w:color w:val="auto"/>
              </w:rPr>
            </w:pPr>
            <w:r>
              <w:rPr>
                <w:rFonts w:ascii="Arial" w:cs="Arial" w:eastAsia="Arial" w:hAnsi="Arial"/>
                <w:sz w:val="13"/>
                <w:szCs w:val="13"/>
                <w:b w:val="1"/>
                <w:bCs w:val="1"/>
                <w:color w:val="auto"/>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Target Amount</w:t>
            </w:r>
          </w:p>
        </w:tc>
        <w:tc>
          <w:tcPr>
            <w:tcW w:w="5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Unitholders</w:t>
            </w:r>
          </w:p>
        </w:tc>
        <w:tc>
          <w:tcPr>
            <w:tcW w:w="8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Partner</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6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up to $ 0.35</w:t>
            </w:r>
          </w:p>
        </w:tc>
        <w:tc>
          <w:tcPr>
            <w:tcW w:w="5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4100" w:type="dxa"/>
            <w:vAlign w:val="bottom"/>
            <w:gridSpan w:val="3"/>
          </w:tcPr>
          <w:p>
            <w:pPr>
              <w:ind w:left="600"/>
              <w:spacing w:after="0"/>
              <w:rPr>
                <w:sz w:val="20"/>
                <w:szCs w:val="20"/>
                <w:color w:val="auto"/>
              </w:rPr>
            </w:pPr>
            <w:r>
              <w:rPr>
                <w:rFonts w:ascii="Arial" w:cs="Arial" w:eastAsia="Arial" w:hAnsi="Arial"/>
                <w:sz w:val="18"/>
                <w:szCs w:val="18"/>
                <w:color w:val="auto"/>
              </w:rPr>
              <w:t>up to $ 0.4025</w:t>
            </w: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98%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4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above $0.4025 up to $0.4375</w:t>
            </w:r>
          </w:p>
        </w:tc>
        <w:tc>
          <w:tcPr>
            <w:tcW w:w="1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85%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4100" w:type="dxa"/>
            <w:vAlign w:val="bottom"/>
            <w:gridSpan w:val="3"/>
          </w:tcPr>
          <w:p>
            <w:pPr>
              <w:ind w:left="600"/>
              <w:spacing w:after="0"/>
              <w:rPr>
                <w:sz w:val="20"/>
                <w:szCs w:val="20"/>
                <w:color w:val="auto"/>
              </w:rPr>
            </w:pPr>
            <w:r>
              <w:rPr>
                <w:rFonts w:ascii="Arial" w:cs="Arial" w:eastAsia="Arial" w:hAnsi="Arial"/>
                <w:sz w:val="18"/>
                <w:szCs w:val="18"/>
                <w:color w:val="auto"/>
              </w:rPr>
              <w:t>above $0.4375 up to $0.525</w:t>
            </w: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75%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above $ 0.525</w:t>
            </w:r>
          </w:p>
        </w:tc>
        <w:tc>
          <w:tcPr>
            <w:tcW w:w="1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The Navios Holdings Credit facility: </w:t>
      </w:r>
      <w:r>
        <w:rPr>
          <w:rFonts w:ascii="Arial" w:cs="Arial" w:eastAsia="Arial" w:hAnsi="Arial"/>
          <w:sz w:val="18"/>
          <w:szCs w:val="18"/>
          <w:color w:val="auto"/>
        </w:rPr>
        <w:t>In May 2015, Navios Partners entered into the Navios Holdings Credit Facility of up to $60.0 million. The Navios</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Credit Facility had a margin of LIBOR plus 300 bps. The final maturity date was January 2, 2017. In April 2016, the Company drew $21.0 million from Navios Holdings Credit Facility, which amount was fully repaid during April 2016. As of June 30, 2017 and December 31, 2016, there was no outstanding amount under this facility.</w:t>
      </w:r>
    </w:p>
    <w:p>
      <w:pPr>
        <w:sectPr>
          <w:pgSz w:w="11900" w:h="16838" w:orient="portrait"/>
          <w:cols w:equalWidth="0" w:num="1">
            <w:col w:w="11340"/>
          </w:cols>
          <w:pgMar w:left="240" w:top="459" w:right="319" w:bottom="1440" w:gutter="0" w:footer="0" w:header="0"/>
        </w:sectPr>
      </w:pP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40"/>
          </w:cols>
          <w:pgMar w:left="240" w:top="459" w:right="3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Management fees: </w:t>
      </w:r>
      <w:r>
        <w:rPr>
          <w:rFonts w:ascii="Arial" w:cs="Arial" w:eastAsia="Arial" w:hAnsi="Arial"/>
          <w:sz w:val="16"/>
          <w:szCs w:val="16"/>
          <w:color w:val="auto"/>
        </w:rPr>
        <w:t>Pursuant to the amended Management Agreement, in each of October 2013, August 2014 and February 2015, the Manager, a wholly</w:t>
      </w:r>
      <w:r>
        <w:rPr>
          <w:rFonts w:ascii="Arial" w:cs="Arial" w:eastAsia="Arial" w:hAnsi="Arial"/>
          <w:sz w:val="16"/>
          <w:szCs w:val="16"/>
          <w:b w:val="1"/>
          <w:bCs w:val="1"/>
          <w:color w:val="auto"/>
        </w:rPr>
        <w:t xml:space="preserve"> </w:t>
      </w:r>
      <w:r>
        <w:rPr>
          <w:rFonts w:ascii="Arial" w:cs="Arial" w:eastAsia="Arial" w:hAnsi="Arial"/>
          <w:sz w:val="16"/>
          <w:szCs w:val="16"/>
          <w:color w:val="auto"/>
        </w:rPr>
        <w:t>owned subsidiary of Navios Holdings, provides commercial and technical management services to Navios Partners’ vessels for a daily fee of: (a) $4,000 daily rate per Ultra-Handymax vessel; (b) $4,100 daily rate per Panamax vessel; (c) $5,100 daily rate per Capesize vessel; (d) $6,500 daily rate per Container vessel of TEU 6,800; (e) $7,200 daily rate per Container vessel of more than TEU 8,000; and (f) $8,500 daily rate per very large Container vessel of more than TEU 13,000 through December 31, 2015. In February 2016, Navios Partners amended the existing management agreement with the Manager to fix the fees for ship management services of its owned fleet at: (a) $4,100 daily rate per Ultra-Handymax vessel; (b) $4,200 daily rate per Panamax vessel; (c) $5,250 daily rate per Capesize vessel; (d) $6,700 daily rate per Container vessel of TEU 6,800; (e) $7,400 daily rate per Container vessel of more than TEU 8,000; and</w:t>
      </w:r>
    </w:p>
    <w:p>
      <w:pPr>
        <w:spacing w:after="0" w:line="2" w:lineRule="exact"/>
        <w:rPr>
          <w:sz w:val="20"/>
          <w:szCs w:val="20"/>
          <w:color w:val="auto"/>
        </w:rPr>
      </w:pPr>
    </w:p>
    <w:p>
      <w:pPr>
        <w:ind w:right="220" w:firstLine="8"/>
        <w:spacing w:after="0" w:line="253" w:lineRule="auto"/>
        <w:tabs>
          <w:tab w:leader="none" w:pos="2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$8,750 daily rate per very large Container vessel of more than TEU 13,000 through December 31, 2017. Drydocking expenses under this agreement are reimbursed by Navios Partners at cost at occurrence. Effective from August 31, 2016, Navios Partners could, upon request to Navios Holdings, partially or fully defer the reimbursement of dry docking and other extraordinary fees and expenses under the Management Agreement to a later date, but not later than January 5, 2018, and if reimbursed on a later date, such amounts would bear interest at a rate of 1% per annum over LIBOR. Drydocking expenses are reimbursed at cost by Navios Partners.</w:t>
      </w:r>
    </w:p>
    <w:p>
      <w:pPr>
        <w:spacing w:after="0" w:line="19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Pursuant to a management agreement dated June 7, 2017, the Manager provides commercial and technical management services to Navios Containers’ vessels. The term of this agreement is for an initial period of five years with an automatic extension for successive one year periods thereafter unless a notice for termination is received by either party. The fee for the ship management services provided by the Manager is a daily fee of US $6.100 per day for 4,250 TEU and 3,450 TEU container vessels. Drydocking expenses under this agreement are reimbursed by Navios Containers at cost at occurrence.</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management fees for the three and six months ended June 30, 2017 amounted to $15.5 million and $29.8 million, respectively. Total management fees for the three and six months ended June 30, 2016 amounted to $14.7 million and $29.4 million, respectively.</w:t>
      </w:r>
    </w:p>
    <w:p>
      <w:pPr>
        <w:spacing w:after="0" w:line="16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Pursuant to the Administrative Services Agreement, the Manager also provides administrative services to Navios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include bookkeeping, audit and accounting services, legal and insurance services, administrative and clerical services, banking and financial services, advisory services, client and investor relations and other. The Manager is reimbursed for reasonable costs and expenses incurred in connection with the provision of these services. Navios Partners extended the duration of its existing Administrative Services Agreement with the Manager, until December 31, 2017.</w:t>
      </w:r>
    </w:p>
    <w:p>
      <w:pPr>
        <w:spacing w:after="0" w:line="188"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color w:val="auto"/>
        </w:rPr>
        <w:t>Pursuant to the Administrative Services Agreement dated June 7, 2017, the Manager also provides administrative services to Navios Containers, which include bookkeeping, audit and accounting services, legal and insurance services, administrative and clerical services, banking and financial services, advisory services, client and investor relations and other. The Manager is reimbursed for reasonable costs and expenses incurred in connection with the provision of these services. The term of this agreement is for an initial period of five years with an automatic extension for successive one year periods thereafter unless a notice for termination is received by either party.</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general and administrative expenses charged by Navios Holdings for the three and six month periods ended June 30, 2017 amounted to $2.0 million and $3.9 million, respectively. Total general and administrative expenses charged by Navios Holdings for the three and six month periods ended June 30, 2016 amounted to $1.9 million and $3.9 million, respectively.</w:t>
      </w:r>
    </w:p>
    <w:p>
      <w:pPr>
        <w:spacing w:after="0" w:line="17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color w:val="auto"/>
        </w:rPr>
        <w:t xml:space="preserve">Balance due from related parties (excluding Navios Europe I and Navios Europe II): </w:t>
      </w:r>
      <w:r>
        <w:rPr>
          <w:rFonts w:ascii="Arial" w:cs="Arial" w:eastAsia="Arial" w:hAnsi="Arial"/>
          <w:sz w:val="18"/>
          <w:szCs w:val="18"/>
          <w:color w:val="auto"/>
        </w:rPr>
        <w:t>Balance due from related parties as of June 30, 2017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was $41.0 million and $19.0 million, respectively, of which current receivable from Navios Holdings and its subsidiaries was $31.9 million and the long-term receivable was $9.1 million. The balances mainly consisted of management and administrative fees in accordance with the Management and Administrative services agreements and the Navios Holdings Guarantee.</w:t>
      </w:r>
    </w:p>
    <w:p>
      <w:pPr>
        <w:spacing w:after="0" w:line="180"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 xml:space="preserve">Balance due to related parties: </w:t>
      </w:r>
      <w:r>
        <w:rPr>
          <w:rFonts w:ascii="Arial" w:cs="Arial" w:eastAsia="Arial" w:hAnsi="Arial"/>
          <w:sz w:val="17"/>
          <w:szCs w:val="17"/>
          <w:color w:val="auto"/>
        </w:rPr>
        <w:t>Balance due to related parties as of June 30, 2017 and December 31, 2016, was $0 million and $11.1 million, respectively,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which relate to the non-current amount payable to Navios Holdings and its subsidiaries for drydock and special survey expenses.</w:t>
      </w:r>
    </w:p>
    <w:p>
      <w:pPr>
        <w:spacing w:after="0" w:line="1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Vessel Chartering: </w:t>
      </w:r>
      <w:r>
        <w:rPr>
          <w:rFonts w:ascii="Arial" w:cs="Arial" w:eastAsia="Arial" w:hAnsi="Arial"/>
          <w:sz w:val="18"/>
          <w:szCs w:val="18"/>
          <w:color w:val="auto"/>
        </w:rPr>
        <w:t>In 2012 and 2013, Navios Partners entered into various charters with a subsidiary of Navios Holdings for the Navios Apollon, the Navios</w:t>
      </w:r>
      <w:r>
        <w:rPr>
          <w:rFonts w:ascii="Arial" w:cs="Arial" w:eastAsia="Arial" w:hAnsi="Arial"/>
          <w:sz w:val="18"/>
          <w:szCs w:val="18"/>
          <w:b w:val="1"/>
          <w:bCs w:val="1"/>
          <w:color w:val="auto"/>
        </w:rPr>
        <w:t xml:space="preserve"> </w:t>
      </w:r>
      <w:r>
        <w:rPr>
          <w:rFonts w:ascii="Arial" w:cs="Arial" w:eastAsia="Arial" w:hAnsi="Arial"/>
          <w:sz w:val="18"/>
          <w:szCs w:val="18"/>
          <w:color w:val="auto"/>
        </w:rPr>
        <w:t>Libra, the Navios Felicity and the Navios Hope. In April 2015, these charters were further extended for approximately one year at a net daily rate of $12,500, $12,000, $12,000, $10,000, respectively, plus 50/50 profit sharing based on actual earnings at the end of the period. The vessels were redelivered as of April 2016.</w:t>
      </w:r>
    </w:p>
    <w:p>
      <w:pPr>
        <w:spacing w:after="0" w:line="184"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2015, Navios Partners entered into various charters with a subsidiary of Navios Holdings for the Navios Gemini, the Navios Hyperion, the Navios Soleil, the Navios Harmony, the Navios Orbiter, the Navios Fantastiks, the Navios Alegria, the Navios Pollux and the Navios Sun. The terms of these charters were approximately nine to twelve months, at a net daily rate of $7,600, $12,000, $12,000, $12,000, $12,000, $12,500, $12,000, $11,400 and $12,000, respectively plus 50/50 profit sharing based on actual earnings at the end of the period. The vessels were redelivered as of April 2016.</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November 2016, Navios Partners entered into a charter with a subsidiary of Navios Holdings for the Navios Fulvia, a 2010-built Capesize vessel. The term of this charter was approximately three months that commenced in November 2016, at a net daily rate of $11,500. The vessel was redelivered as of February 2017.</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Total revenue of Navios Partners from the subsidiaries of Navios Holdings for the three and six month periods ended June 30, 2017 amounted to $0 million and $0.1 million, respectively. Total revenue of Navios Partners from the subsidiaries of Navios Holdings for the three and six months ended June 30, 2016 amounted to $(3.1) million and $1.2 million, respectively.</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 xml:space="preserve">Share Purchase Agreements: </w:t>
      </w:r>
      <w:r>
        <w:rPr>
          <w:rFonts w:ascii="Arial" w:cs="Arial" w:eastAsia="Arial" w:hAnsi="Arial"/>
          <w:sz w:val="16"/>
          <w:szCs w:val="16"/>
          <w:color w:val="auto"/>
        </w:rPr>
        <w:t>On February 4, 2015, Navios Partners entered into a share purchase agreement with Navios Holdings pursuant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Navios Holdings made an investment in Navios Partners by purchasing common units, and general partnership interests (See Note 8—Issuance of Units).</w:t>
      </w:r>
    </w:p>
    <w:p>
      <w:pPr>
        <w:spacing w:after="0" w:line="11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On February 4, 2015, in connection with the share purchase agreement as discussed above, Navios Partners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agreement with Navios Holdings pursuant to which Navios Partners provided Navios Holdings with certain rights relating to the registration of the common units.</w:t>
      </w:r>
    </w:p>
    <w:p>
      <w:pPr>
        <w:spacing w:after="0" w:line="176"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b w:val="1"/>
          <w:bCs w:val="1"/>
          <w:color w:val="auto"/>
        </w:rPr>
        <w:t xml:space="preserve">Balance due from Navios Europe I: </w:t>
      </w:r>
      <w:r>
        <w:rPr>
          <w:rFonts w:ascii="Arial" w:cs="Arial" w:eastAsia="Arial" w:hAnsi="Arial"/>
          <w:sz w:val="16"/>
          <w:szCs w:val="16"/>
          <w:color w:val="auto"/>
        </w:rPr>
        <w:t>Navios Holdings, Navios Acquisition and Navios Partners have made available to Navios Europe I revolving loans up</w:t>
      </w:r>
      <w:r>
        <w:rPr>
          <w:rFonts w:ascii="Arial" w:cs="Arial" w:eastAsia="Arial" w:hAnsi="Arial"/>
          <w:sz w:val="16"/>
          <w:szCs w:val="16"/>
          <w:b w:val="1"/>
          <w:bCs w:val="1"/>
          <w:color w:val="auto"/>
        </w:rPr>
        <w:t xml:space="preserve"> </w:t>
      </w:r>
      <w:r>
        <w:rPr>
          <w:rFonts w:ascii="Arial" w:cs="Arial" w:eastAsia="Arial" w:hAnsi="Arial"/>
          <w:sz w:val="16"/>
          <w:szCs w:val="16"/>
          <w:color w:val="auto"/>
        </w:rPr>
        <w:t>to $24.1 million to fund working capital requirements (collectively, the “Navios Revolving Loans I”). See Note 14 for the Investment in Navios Europe I and respective ownership interests. The Navios Revolving Loans I and the Navios Term Loans I earn interest and an annual preferred return, respectively, at</w:t>
      </w:r>
    </w:p>
    <w:p>
      <w:pPr>
        <w:spacing w:after="0" w:line="2"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12.7% per annum, on a quarterly compounding basis and are repaid from free cash flow (as defined in the loan agreement) to the fullest extent possible at the end of each quarter.</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June 30, 2017, Navios Partners’ portion of the outstanding amount relating to portion of the investment in Navios Europe I (5.0% of the $10.0 million) was $0.5 million, under the caption “Investment in affiliates” and the outstanding amount relating to the Navios Revolving Loans I capital was $1.0 million (December 31, 2016: $0.8 million), under the caption “Loans receivable from affiliates”. The accrued interest income earned under the Navios Revolving Loans I was $0.4 million (December 31, 2016: $0.3 million) under the caption “Balance due from related parties” and the accrued interest income earned under the Navios Term Loans I was $0.3 million (December 31, 2016: $0.2 million) under the caption “Loans receivable from affiliates”. As of June 30, 2017, the amount undrawn from the Navios Revolving Loans I was $4.8 million.</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Balance due from Navios Europe II: </w:t>
      </w:r>
      <w:r>
        <w:rPr>
          <w:rFonts w:ascii="Arial" w:cs="Arial" w:eastAsia="Arial" w:hAnsi="Arial"/>
          <w:sz w:val="17"/>
          <w:szCs w:val="17"/>
          <w:color w:val="auto"/>
        </w:rPr>
        <w:t>Navios Holdings, Navios Acquisition and Navios Partners have made available to Navios Europe II revolving loans up</w:t>
      </w:r>
      <w:r>
        <w:rPr>
          <w:rFonts w:ascii="Arial" w:cs="Arial" w:eastAsia="Arial" w:hAnsi="Arial"/>
          <w:sz w:val="17"/>
          <w:szCs w:val="17"/>
          <w:b w:val="1"/>
          <w:bCs w:val="1"/>
          <w:color w:val="auto"/>
        </w:rPr>
        <w:t xml:space="preserve"> </w:t>
      </w:r>
      <w:r>
        <w:rPr>
          <w:rFonts w:ascii="Arial" w:cs="Arial" w:eastAsia="Arial" w:hAnsi="Arial"/>
          <w:sz w:val="17"/>
          <w:szCs w:val="17"/>
          <w:color w:val="auto"/>
        </w:rPr>
        <w:t>to $43.5 million to fund working capital requirements (collectively, the “Navios Revolving Loans II”). In March 2017, the availability under the Navios Revolving Loans II was increased by $14.0 million. See Note 14 for the Investment in Navios Europe II and respective ownership interests. The Navios Revolving Loans II and the Navios Term Loans II earn interest and an annual preferred return, respectively, at 18% per annum, on a quarterly compounding basis and are repaid from free cash flow (as defined in the loan agreement) to the fullest extent possible at the end of each quarter.</w:t>
      </w:r>
    </w:p>
    <w:p>
      <w:pPr>
        <w:spacing w:after="0" w:line="1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2017, Navios Partners’ portion of the outstanding amount relating to portion of the investment in Navios Europe II (5.0% of the $14.0 million) was $0.7 million, under the caption “Investment in affiliates” and the outstanding amount relating to the Navios Revolving Loans II capital was $9.8 million (December 31, 2016: $1.2 million), under the caption “Loans receivable from affiliates”. The accrued interest income earned under the Navios Revolving Loans II was $0.8 million (December 31, 2016: $0.3 million) under the caption “Balance due from related parties” and the accrued interest income earned under the Navios Term Loans II was $0.3 million (December 31, 2016: $0.2 million) under the caption “Loans receivable from affiliates”. As of June 30, 2017, the amount undrawn from the Navios Revolving Loans II was $15.0 million.</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Note receivable from affiliates: </w:t>
      </w:r>
      <w:r>
        <w:rPr>
          <w:rFonts w:ascii="Arial" w:cs="Arial" w:eastAsia="Arial" w:hAnsi="Arial"/>
          <w:sz w:val="17"/>
          <w:szCs w:val="17"/>
          <w:color w:val="auto"/>
        </w:rPr>
        <w:t>On March 17, 2017, Navios Holdings transferred to Navios Partners its rights to the fixed 12.7% interest on the Navios</w:t>
      </w:r>
      <w:r>
        <w:rPr>
          <w:rFonts w:ascii="Arial" w:cs="Arial" w:eastAsia="Arial" w:hAnsi="Arial"/>
          <w:sz w:val="17"/>
          <w:szCs w:val="17"/>
          <w:b w:val="1"/>
          <w:bCs w:val="1"/>
          <w:color w:val="auto"/>
        </w:rPr>
        <w:t xml:space="preserve"> </w:t>
      </w:r>
      <w:r>
        <w:rPr>
          <w:rFonts w:ascii="Arial" w:cs="Arial" w:eastAsia="Arial" w:hAnsi="Arial"/>
          <w:sz w:val="17"/>
          <w:szCs w:val="17"/>
          <w:color w:val="auto"/>
        </w:rPr>
        <w:t>Europe Inc. term loan and working capital loans (including the respective accrued receivable interest) in the amount of $33.5 million, which included a cash consideration of $4.1 million and 13,076,923 newly issued common units of Navios Partners. At the date of this transaction, the Company recognized a receivable at the fair value of its newly issued common units totaling to $29.4 million based on the closing price of $2.25 per unit as of March 16, 2017 given as consideration (see also Note 8). The receivable relating to the consideration settled with the issuance of 13,076,923 Navios Partners’ common units in the amount of $29.4 million has been classified contra equity within the consolidated statements of changes in Partners’ Capital as “Note receivable.” The receivable from Navios Holdings is payable on maturity in December 2023 and Navios Partners will receive approximately $50.9 million. Interest will accrue through maturity and will be recognized within “Interest income” for the receivable relating to the cash consideration of $4.1 million. As of June 30, 2017, the long-term note receivable from Navios Holdings amounted to $4.1 million (including the non-cash interest income of $0.01 million) and was included within “Note receivable from affiliates”. Navios Partners may require Navios Holdings, under certain conditions, to repurchase the loans after the third anniversary of the date of the transaction based on the then outstanding balance of the loans.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Navios Partners has entered into an omnibus agreement with Navios Holdings (the “Partners Omnibus Agreement”) in connection with the closing of</w:t>
      </w:r>
      <w:r>
        <w:rPr>
          <w:rFonts w:ascii="Arial" w:cs="Arial" w:eastAsia="Arial" w:hAnsi="Arial"/>
          <w:sz w:val="18"/>
          <w:szCs w:val="18"/>
          <w:b w:val="1"/>
          <w:bCs w:val="1"/>
          <w:color w:val="auto"/>
        </w:rPr>
        <w:t xml:space="preserve"> </w:t>
      </w:r>
      <w:r>
        <w:rPr>
          <w:rFonts w:ascii="Arial" w:cs="Arial" w:eastAsia="Arial" w:hAnsi="Arial"/>
          <w:sz w:val="18"/>
          <w:szCs w:val="18"/>
          <w:color w:val="auto"/>
        </w:rPr>
        <w:t>Navios Partners’ IPO governing, among other things, when Navios Holdings and Navios Partners may compete against each other as well as rights of first offer on certain drybulk carriers. Pursuant to the Partners Omnibus Agreement, Navios Partners generally agreed not to acquire or own Panamax or Capesize drybulk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Navios Partners entered into an omnibus agreement with Navios Acquisition and Navios Holdings (the “Acquisition Omnibus Agreement”) in connection with the closing of Navios Acquisition’s initial vessel acquisition, pursuant to which, among other things, Navios Holdings and Navios Partners agreed not to acquire, charter-in or own liquid shipment vessels, except for container vessels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drybulk carriers subject to specific exceptions. Under the Acquisition Omnibus Agreement, Navios Acquisition and its subsidiaries granted to Navios Holdings and Navios Partners, a right of first offer on any proposed sale, transfer or other disposition of any of its drybulk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Navios Maritime Midstream Partners L.P. (“Navios Midstream”) initial public offering and effective November 18, 2014, Navios Partners entered into an omnibus agreement with Navios Midstream, Navios Acquisition and Navios Holdings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15, 2012 (as amended in March 2014), Navios Holdings and Navios Partners entered into an agreement (the “Navios Holdings Guarantee”) by which Navios Holdings will provide supplemental credit default insurance with a maximum cash payment of $20.0 million. During each of the three and six month periods ended June 30, 2017, the Company submitted claims for charterers’ default under this agreement to Navios Holdings for a total amount in each period of $2.3 million and $4.5 million, net of applicable deductions, of which $2.4 million and $4.8 million was recorded as “Other income”. During each of the three and six month period ended June 30, 2016, the Company submitted claims for charterers’ default under this agreement to Navios Holdings for a total amount of $2.3 million and $4.6 million, net of applicable deductions, under “Other income”.</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2017, Navios Holdings held an 18.9% common unit interest in Navios Partners, represented by 28,421,233 common units and it also held a general partner interest of 2.0%.</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Navios Containers entered into an omnibus agreement with Navios Acquisition, Navios Holdings, Navios Partners and Navios Midstream, pursuant to which Navios Acquisition, Navios Holdings, Navios Partners, Navios Midstream and their controlled affiliates generally have granted a right of first refusal over any container vessels to be sold or acquired in the future. The omnibus agreement contains significant exceptions that will allow Navios Acquisition, Navios Holdings, Navios Partners and Navios Midstream or any of their controlled affiliates to compete with Navios Containers under specified circumstances.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functional and reporting currency is the U.S. dollar. We engage in worldwide commerce with a variety of entities. Although our operations may expose us to certain levels of foreign currency risk, our transactions are predominantly U.S. dollar denominated. Transactions in currencies other than U.S. dollars are translated at the exchange rate in effect at the date of each transaction. Differences in exchange rates during the period between the date a transaction denominated in a foreign currency is consummated and the date on which it is either settled or translated, are recognized.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Borrowings under Navios Partners’ and Navios Containers’ credit facilities bear interest at rate based on a premium over U.S. $ LIBOR. Therefore, we are exposed to the risk that our interest expense may increase if interest rates rise. For the six month period ended June 30, 2017, we paid interest on our outstanding debt at a weighted average interest rate of 5.61%. A 1% increase in LIBOR would have increased our interest expense for the six month period ended June 30, 2017 by $2.2 million. For the six month period ended June 30, 2016, we paid interest on our outstanding debt at a weighted average interest rate of 4.60%. A 1% increase in LIBOR would have increased our interest expense for the six month period ended June 30, 2016 by $2.8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Financial instruments, which potentially subject us to significant concentrations of credit risk, consist principally of trade accounts receivable. We closely monitor our exposure to customers for credit risk. We have policies in place to ensure that we trade with customers with an appropriate credit history.</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the six month period ended June 30, 2017, Navios Partners’ and Navios Containers’ customers representing 10% or more of total revenues were Hyundai Merchant Marine Co., Ltd. (“HMM”) and Yang Ming Marine Transport Corporation which accounted for approximately 30.4% and 13.6%, respectively, of total revenues. For the year ended December 31, 2016, Navios Partners’ customers representing 10% or more of total revenues were Hyundai Merchant Marine Co. Ltd., Yang Ming Marine Transport Corporation and Mediterranean Shipping Co. S.A. which accounted for 29.6%, 13.0% and 11.6%, respectively, of total revenues. No other customers accounted for 10% or more of total revenue for any of the periods presented. Following the termination of the credit default insurance through its third party insurer, entered into an agreement by which Navios Holdings will provide supplemental credit default insurance with a maximum cash payment of $20.0 million. During the six month period ended June 30, 2017, the Company submitted claims under this agreement to Navios Holdings for a total amount of $4.8 million, which was recorded as “Other income”.</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we lose a charter, we may be unable to re-deploy the related vessel on terms as favorable to us due to the long-term nature of most charters and the cyclical nature of the industry or we may be forced to charter the vessel on the spot market at then market rates which may be less favorable than the charter that has been terminated. If we are unable to re-deploy a vessel for which the charter has been terminated, we will not receive any revenues from that vessel, but we may be required to pay expenses necessary to maintain the vessel in proper operating condition. If we lose a vessel, any replacement or newbuilding would not generate revenues during its construction acquisition period, and we may be unable to charter any replacement vessel on terms as favorable to us as those of the terminated charter.</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Even if we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The permanent loss of a customer, time charter or vessel, or a decline in payments under our charters, could have a material adverse effect on our business, results of operations and financial condition and our ability to make cash distributions in the event we are unable to replace such customer, time charter or vessel. For further details, please read “Risk Factors” in our 2016 Annual Report on Form 20-F.</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Inflation has had a minimal impact on vessel operating expenses, drydocking expenses and general and administrative expenses. Our management does not consider inflation to be a significant risk to direct expenses in the current and foreseeable economic environment.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January 2017, FASB issued Accounting Standard Update No. 2017-03 “Accounting Changes and Error Corrections (Topic 250) and Investments-Equity Method and Joint Ventures (Topic 323).” The ASU amends the Codification for SEC staff announcements made at recent Emerging Issues Task Force (EITF) meetings. The SEC guidance that specifically relates to our Consolidate Financial Statement was from the September 2016 meeting, where the SEC staff expressed its expectations about the extent of disclosures registrants should make about the effects of the new FASB guidance as well as any amendments issued prior to adoption, on revenue (ASU 2014-09), leases (ASU 2016-02) and credit losses on financial instruments (ASU 2016-13) in accordance with SAB Topic 11.M. Registrants are required to disclose the effect that recently issued accounting standards will have on their financial statements when adopted in a future period. In cases where a registrant cannot reasonably estimate the impact of the adoption, then additional qualitative disclosures should be considered. The ASU incorporates these SEC staff views into ASC 250 and adds references to that guidance in the transition paragraphs of each of the three new standards. The adoption of this new accounting guidance did not have a material effect on the Company’s Consolidated Financial Statements.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2016, FASB issued Accounting Standards Update No. 2016-18, “Statement of Cash Flows (Topic 230): Restricted Cash”. This update addresses the classification and presentation of changes in restricted cash on the statement of cash flows under Topic 230, Statement of Cash Flows. The amendments are effective for public business entities for fiscal years beginning after December 15, 2017, and interim periods within those fiscal years. Early adoption is permitted for all entities. The Company is currently assessing the impact that adopting this new accounting guidance will have on its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August 2016, FASB issued Accounting Standards Update No. 2016-15, “Statement of Cash Flows: Classification of Certain Cash Receipts and Cash Payments”. This update addresses eight specific cash flow issues with the objective of reducing the existing diversity in practice. The amendments are effective for public business entities for fiscal years beginning after December 15, 2017, and interim periods within those fiscal years. Early adoption is permitted for all entities. The Company is currently assessing the impact that adopting this new accounting guidance will have on its consolidated financial statements.</w:t>
      </w:r>
    </w:p>
    <w:p>
      <w:pPr>
        <w:spacing w:after="0" w:line="16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February 2016, FASB issued Accounting Standards Update No. 2016-02, “Leases (Topic 842)” (“ASU 2016-02”). ASU 2016-02 will apply to both types of leases – capital (or finance) leases and operating leases. According to the new Accounting Standard, lessees will be required to recognize assets and liabilities on the balance sheet for the rights and obligations created by all leases with terms of more than 12 months. ASU 2016 – 02 is effective for fiscal years beginning after December 15, 2018, including interim periods within those fiscal years. Early application is permitted. The Company is currently assessing the impact that adopting this new accounting guidance will have on its consolidated financial statements and footnotes disclosures.</w:t>
      </w:r>
    </w:p>
    <w:p>
      <w:pPr>
        <w:spacing w:after="0" w:line="11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January 2016, FASB issued Accounting Standards Update No. 2016-01, “Financial Instruments – Overall (Subtopic 825-10) – Recognition and Measurement of Financial Assets and Financial Liabilities”. The amendments in this update require an entity (i) to measure equity investments (except those accounted for under the equity method of accounting or those that result in consolidation of the investee) at fair value with changes in fair value recognized in net income; (ii) to perform a qualitative assessment to identify impairment in equity investments without readily determinable fair values; (iii) to present separately in other comprehensive income the fair value of a liability resulting from a change in the instrument-specific credit risk; and (iv) to present separately financial assets and financial liabilities by measurement category and form of financial asset (that is, securities or loans and receivables) on the balance sheet. The amendments also eliminate the requirement, for public business entities, to disclose the methods and significant assumptions used to estimate the fair value of financial instruments measured at amortized cost on the balance sheet and clarify that an entity should evaluate the need for a valuation allowance on a deferred tax asset related to available-for-sale securities in combination with the entity’s other deferred tax assets. For public business entities, the update is effective for fiscal years beginning after December 15, 2017, including interim periods within those fiscal years. The adoption of this new standard is not expected to have a material impact on the Company’s results of operations, financial position or cash flows.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May 2014, FASB issued Accounting Standards Update No. 2014-09, “Revenue from Contracts with Customers”, clarifying the method used to determine the timing and requirements for revenue recognition on the statements of income. Under the new standard, an entity must identify the performance obligations in a contract, the transaction price and allocate the price to specific performance obligations to recognize the revenue when the obligation is completed. The amendments in this update also require disclosure of sufficient information to allow users to understand the nature, amount, timing and uncertainty of revenue and cash flow arising from contracts. The new accounting guidance is effective for interim and annual periods beginning after December 15, 2016. In August 2015, FASB issued Accounting Standard Update No. 2015-14 which deferred the effective date of ASU 2014-09 for all entities by one year. The standard will be effective for public entities for annual reporting periods beginning after December 15, 2017 and interim periods therein. The Company is currently assessing the impact that adopting this new accounting guidance will have its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financial statements have been prepared in accordance with US GAAP. The preparation of these financial statements requires us to make estimates in the application of our accounting policies based on the best assumptions, judgments and opinions of management. Following is a discussion of the accounting policies that involve a higher degree of judgment and the methods of their application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Critical accounting policies are those that reflect significant judgments or uncertainties, and potentially result in materially different results under different assumptions and conditions. Other than as described below, all significant accounting policies are as described in Note 2 to the Notes to the consolidated financial statements included in the Company’s Annual Report on Form 20-F for the year ended December 31, 2016 filed with the Securities and Exchange Commission on March 13, 2017.</w:t>
      </w:r>
    </w:p>
    <w:p>
      <w:pPr>
        <w:sectPr>
          <w:pgSz w:w="11900" w:h="16838" w:orient="portrait"/>
          <w:cols w:equalWidth="0" w:num="1">
            <w:col w:w="11420"/>
          </w:cols>
          <w:pgMar w:left="240" w:top="459" w:right="2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7"/>
          <w:szCs w:val="17"/>
          <w:b w:val="1"/>
          <w:bCs w:val="1"/>
          <w:color w:val="auto"/>
        </w:rPr>
        <w:t>Exhibit List</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 Number</w:t>
      </w:r>
    </w:p>
    <w:p>
      <w:pPr>
        <w:sectPr>
          <w:pgSz w:w="11900" w:h="16838" w:orient="portrait"/>
          <w:cols w:equalWidth="0" w:num="1">
            <w:col w:w="11380"/>
          </w:cols>
          <w:pgMar w:left="240" w:top="121" w:right="27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materials from Navios Maritime Partners L.P.’s Quarterly Report on Form 6-K containing its financial statements for the three and six months ended June 30, 2016, formatted in eXtensible Business Reporting Language (XBRL): (i) Condensed Consolidated Balance Sheets at June 30, 2017 (unaudited) and December 31, 2016; (ii) Unaudited Condensed Consolidated Statements of operations for each of the three and six month periods ended June 30, 2017 and 2016; (iii) Unaudited Condensed Consolidated Statements of Cash Flows for the six month periods ended June 30, 2017 and 2016; (iv) Unaudited Condensed Consolidated Statements of Changes in Partners’ Capital for the six month periods ended June 30, 2017 and 2016; and (v) the Condensed Notes to the Consolidated Financial Statements (unaudited).</w:t>
      </w:r>
    </w:p>
    <w:p>
      <w:pPr>
        <w:spacing w:after="0" w:line="100" w:lineRule="exact"/>
        <w:rPr>
          <w:sz w:val="20"/>
          <w:szCs w:val="20"/>
          <w:color w:val="auto"/>
        </w:rPr>
      </w:pPr>
    </w:p>
    <w:p>
      <w:pPr>
        <w:sectPr>
          <w:pgSz w:w="11900" w:h="16838" w:orient="portrait"/>
          <w:cols w:equalWidth="0" w:num="2">
            <w:col w:w="1560" w:space="720"/>
            <w:col w:w="9100"/>
          </w:cols>
          <w:pgMar w:left="240" w:top="121"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121" w:right="27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5"/>
            <w:vMerge w:val="restart"/>
          </w:tcPr>
          <w:p>
            <w:pPr>
              <w:spacing w:after="0"/>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NAVIOS MARITIME PARTNERS L.P.</w:t>
              </w:r>
            </w:hyperlink>
          </w:p>
        </w:tc>
        <w:tc>
          <w:tcPr>
            <w:tcW w:w="8000" w:type="dxa"/>
            <w:vAlign w:val="bottom"/>
            <w:gridSpan w:val="6"/>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3060" w:type="dxa"/>
            <w:vAlign w:val="bottom"/>
            <w:tcBorders>
              <w:bottom w:val="single" w:sz="8" w:color="0000EE"/>
            </w:tcBorders>
            <w:gridSpan w:val="5"/>
            <w:vMerge w:val="continue"/>
          </w:tcPr>
          <w:p>
            <w:pPr>
              <w:spacing w:after="0"/>
              <w:rPr>
                <w:sz w:val="14"/>
                <w:szCs w:val="14"/>
                <w:color w:val="auto"/>
              </w:rPr>
            </w:pPr>
          </w:p>
        </w:tc>
        <w:tc>
          <w:tcPr>
            <w:tcW w:w="8000" w:type="dxa"/>
            <w:vAlign w:val="bottom"/>
            <w:gridSpan w:val="6"/>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60" w:type="dxa"/>
            <w:vAlign w:val="bottom"/>
            <w:gridSpan w:val="1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UNAUDITED CONDENSED CONSOLIDATED BALANCE SHEETS AT JUNE 30, 2017 AND DECEMBER 31, 2016</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UNAUDITED CONDENSED CONSOLIDATED STATEMENTS OF OPERATIONS FOR THE THREE AND SIX MONTH PERIODS ENDED</w:t>
              </w:r>
            </w:hyperlink>
          </w:p>
        </w:tc>
        <w:tc>
          <w:tcPr>
            <w:tcW w:w="50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JUNE 30, 2017 AND 2016</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0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UNAUDITED CONDENSED CONSOLIDATED STATEMENTS OF CASH FLOWS FOR THE SIX MONTH PERIODS ENDED JUNE 30, 2017</w:t>
              </w:r>
            </w:hyperlink>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AND 2016</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UNAUDITED CONDENSED CONSOLIDATED STATEMENTS OF CHANGES IN PARTNERS’ CAPITAL FOR THE SIX MONTH PERIODS</w:t>
              </w:r>
            </w:hyperlink>
          </w:p>
        </w:tc>
        <w:tc>
          <w:tcPr>
            <w:tcW w:w="4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ENDED JUNE 30, 2017 AND 2016</w:t>
              </w:r>
            </w:hyperlink>
          </w:p>
        </w:tc>
        <w:tc>
          <w:tcPr>
            <w:tcW w:w="82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NOTES TO THE CONDENSED CONSOLIDATED FINANCIAL STATEMENTS (UNAUDITED)</w:t>
              </w:r>
            </w:hyperlink>
          </w:p>
        </w:tc>
        <w:tc>
          <w:tcPr>
            <w:tcW w:w="382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0" w:type="dxa"/>
            <w:vAlign w:val="bottom"/>
            <w:gridSpan w:val="6"/>
          </w:tcPr>
          <w:p>
            <w:pPr>
              <w:ind w:left="252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7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0"/>
              <w:spacing w:after="0" w:line="149"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Notes receivable</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134,094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56,349</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Vessels, net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1,083,638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1,037,206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Vessel held for sale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Deposits for vessels acquisitions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drydock and special survey costs, net and other long-term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from affiliates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Intangible assets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37,963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Notes receivable, net of current portion</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1,193,458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1,212,231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1,327,552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1,268,580</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4,205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74,031</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438,847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28,571</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461,416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489,421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530,055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588,371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Common Unitholders (147,436,276 and 83,323,911 units issued and outstanding at June 30, 2017 and December 31,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2016, respectively)</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803,519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677,081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General Partner (3,008,908 and 1,700,493 units issued and outstanding at June 30, 2017 and December 31, 2016,</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Notes receivable</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8, 12</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Navios Partners’ capital</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779,819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680,209</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 capital</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797,497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1,327,552</w:t>
            </w:r>
          </w:p>
        </w:tc>
        <w:tc>
          <w:tcPr>
            <w:tcW w:w="2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1,268,580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w:t>
            </w:r>
          </w:p>
        </w:tc>
        <w:tc>
          <w:tcPr>
            <w:tcW w:w="2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7"/>
              </w:rPr>
              <w:t>Three Month</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Six Month</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Six Month</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260" w:type="dxa"/>
            <w:vAlign w:val="bottom"/>
          </w:tcPr>
          <w:p>
            <w:pPr>
              <w:spacing w:after="0"/>
              <w:rPr>
                <w:sz w:val="12"/>
                <w:szCs w:val="12"/>
                <w:color w:val="auto"/>
              </w:rPr>
            </w:pPr>
          </w:p>
        </w:tc>
        <w:tc>
          <w:tcPr>
            <w:tcW w:w="9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6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4"/>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4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87"/>
              </w:rPr>
              <w:t>Notes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ind w:right="171"/>
              <w:spacing w:after="0" w:line="149"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82"/>
        </w:trPr>
        <w:tc>
          <w:tcPr>
            <w:tcW w:w="60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Time charter and voyage revenues (includes related party revenue of $33 and</w:t>
            </w:r>
          </w:p>
        </w:tc>
        <w:tc>
          <w:tcPr>
            <w:tcW w:w="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$643 for the three and six months ended June 30, 2017, respectively, and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$(3,135) and $1,171 for the three and six months ended June 30, 2016,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9,12</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50,018</w:t>
            </w:r>
          </w:p>
        </w:tc>
        <w:tc>
          <w:tcPr>
            <w:tcW w:w="3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44,877</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92,429</w:t>
            </w:r>
          </w:p>
        </w:tc>
        <w:tc>
          <w:tcPr>
            <w:tcW w:w="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90,518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Time charter and voyage expenses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Management fees (entirely through related parties transactions)</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(15,462)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(14,719)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(29,805)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(29,439)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(8,077)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(18,680)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(18,809)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(35,455)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(37,614)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losses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 and finance cost,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(8,145)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(8,369)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(18,500)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income</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2,950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(16,807)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common unitholders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(16,807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(1,563</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(16,598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unit attributable to common unitholders (see note 15):</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7"/>
              </w:rPr>
              <w:t>Three Month</w:t>
            </w:r>
          </w:p>
        </w:tc>
        <w:tc>
          <w:tcPr>
            <w:tcW w:w="580" w:type="dxa"/>
            <w:vAlign w:val="bottom"/>
          </w:tcPr>
          <w:p>
            <w:pPr>
              <w:spacing w:after="0"/>
              <w:rPr>
                <w:sz w:val="24"/>
                <w:szCs w:val="24"/>
                <w:color w:val="auto"/>
              </w:rPr>
            </w:pPr>
          </w:p>
        </w:tc>
        <w:tc>
          <w:tcPr>
            <w:tcW w:w="13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7"/>
              </w:rPr>
              <w:t>Three Month</w:t>
            </w:r>
          </w:p>
        </w:tc>
        <w:tc>
          <w:tcPr>
            <w:tcW w:w="80" w:type="dxa"/>
            <w:vAlign w:val="bottom"/>
          </w:tcPr>
          <w:p>
            <w:pPr>
              <w:spacing w:after="0"/>
              <w:rPr>
                <w:sz w:val="24"/>
                <w:szCs w:val="24"/>
                <w:color w:val="auto"/>
              </w:rPr>
            </w:pPr>
          </w:p>
        </w:tc>
        <w:tc>
          <w:tcPr>
            <w:tcW w:w="1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8"/>
              </w:rPr>
              <w:t>Six Month</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Six Month</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580" w:type="dxa"/>
            <w:vAlign w:val="bottom"/>
          </w:tcPr>
          <w:p>
            <w:pPr>
              <w:spacing w:after="0"/>
              <w:rPr>
                <w:sz w:val="12"/>
                <w:szCs w:val="12"/>
                <w:color w:val="auto"/>
              </w:rPr>
            </w:pPr>
          </w:p>
        </w:tc>
        <w:tc>
          <w:tcPr>
            <w:tcW w:w="138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80" w:type="dxa"/>
            <w:vAlign w:val="bottom"/>
          </w:tcPr>
          <w:p>
            <w:pPr>
              <w:spacing w:after="0"/>
              <w:rPr>
                <w:sz w:val="12"/>
                <w:szCs w:val="12"/>
                <w:color w:val="auto"/>
              </w:rPr>
            </w:pPr>
          </w:p>
        </w:tc>
        <w:tc>
          <w:tcPr>
            <w:tcW w:w="12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Period Ended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26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53"/>
              <w:spacing w:after="0" w:line="149"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4"/>
              <w:spacing w:after="0" w:line="149"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13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4"/>
                <w:szCs w:val="14"/>
                <w:color w:val="auto"/>
              </w:rPr>
            </w:pPr>
          </w:p>
        </w:tc>
        <w:tc>
          <w:tcPr>
            <w:tcW w:w="1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 (loss) per unit: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0.03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3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20"/>
                <w:szCs w:val="20"/>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Six Month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Six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(1,208)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(used in)/ provided by operating activities: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losses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 cash accrued interest income and amortization of deferred revenue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(6,203)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Non cash accrued interest income from receivable from affiliates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Amortization and write-off of deferred financing cost and discount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drydock and special survey costs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Equity in earnings of affiliates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Loss on vessel disposal</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restricted cash</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Increase in accounts receivable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prepaid expenses and other current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Decrease in other long-term assets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Increase/ (decrease) in accrued expenses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deferred revenue</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Decrease in amounts due to related parties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(11,105)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amounts due from related parties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(22,681)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Payments for dry dock and special survey costs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 from sale of vessels</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Deposits for acquisition of vessels, net of transfers to vessel acquisitions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(9,904)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vessels and favorable lease terms, net of cash acquired</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Repayments of notes receivable</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from affiliates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Note receivable from affiliates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(4,050)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general partner units</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Proceeds from issuance of common units, net of offering cost</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98,175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noncontrolling interest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Common units issuance cost for Navios Europe I loans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decrease in restricted cash</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 and payment of principal</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(497,104)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financing cost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(7,234)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(39,709)</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62,389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17,360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26,750</w:t>
            </w: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79,749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unaudited condensed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Six Month</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Six Month</w:t>
            </w:r>
          </w:p>
        </w:tc>
      </w:tr>
      <w:tr>
        <w:trPr>
          <w:trHeight w:val="149"/>
        </w:trPr>
        <w:tc>
          <w:tcPr>
            <w:tcW w:w="50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Period Ended</w:t>
            </w:r>
          </w:p>
        </w:tc>
      </w:tr>
      <w:tr>
        <w:trPr>
          <w:trHeight w:val="149"/>
        </w:trPr>
        <w:tc>
          <w:tcPr>
            <w:tcW w:w="50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49"/>
        </w:trPr>
        <w:tc>
          <w:tcPr>
            <w:tcW w:w="50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r>
      <w:tr>
        <w:trPr>
          <w:trHeight w:val="171"/>
        </w:trPr>
        <w:tc>
          <w:tcPr>
            <w:tcW w:w="50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4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Cash interest paid</w:t>
            </w:r>
          </w:p>
        </w:tc>
        <w:tc>
          <w:tcPr>
            <w:tcW w:w="4140" w:type="dxa"/>
            <w:vAlign w:val="bottom"/>
            <w:gridSpan w:val="2"/>
          </w:tcPr>
          <w:p>
            <w:pPr>
              <w:ind w:left="40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11,801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w w:val="94"/>
              </w:rPr>
              <w:t>13,406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financing activities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compensation expense</w:t>
            </w:r>
          </w:p>
        </w:tc>
        <w:tc>
          <w:tcPr>
            <w:tcW w:w="4140" w:type="dxa"/>
            <w:vAlign w:val="bottom"/>
            <w:gridSpan w:val="2"/>
          </w:tcPr>
          <w:p>
            <w:pPr>
              <w:ind w:left="40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414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Issuance of common units for transfer of Navios Europe I loans</w:t>
            </w:r>
          </w:p>
        </w:tc>
        <w:tc>
          <w:tcPr>
            <w:tcW w:w="4140" w:type="dxa"/>
            <w:vAlign w:val="bottom"/>
            <w:gridSpan w:val="2"/>
          </w:tcPr>
          <w:p>
            <w:pPr>
              <w:ind w:left="40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28,862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investing activities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Notes receivable</w:t>
            </w:r>
          </w:p>
        </w:tc>
        <w:tc>
          <w:tcPr>
            <w:tcW w:w="4140" w:type="dxa"/>
            <w:vAlign w:val="bottom"/>
            <w:gridSpan w:val="2"/>
          </w:tcPr>
          <w:p>
            <w:pPr>
              <w:ind w:left="40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transaction costs</w:t>
            </w:r>
          </w:p>
        </w:tc>
        <w:tc>
          <w:tcPr>
            <w:tcW w:w="414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Accrued interest on loan receivable from affiliates</w:t>
            </w:r>
          </w:p>
        </w:tc>
        <w:tc>
          <w:tcPr>
            <w:tcW w:w="4140" w:type="dxa"/>
            <w:vAlign w:val="bottom"/>
            <w:gridSpan w:val="2"/>
          </w:tcPr>
          <w:p>
            <w:pPr>
              <w:ind w:left="40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350"/>
        </w:trPr>
        <w:tc>
          <w:tcPr>
            <w:tcW w:w="5080" w:type="dxa"/>
            <w:vAlign w:val="bottom"/>
          </w:tcPr>
          <w:p>
            <w:pPr>
              <w:spacing w:after="0"/>
              <w:rPr>
                <w:sz w:val="24"/>
                <w:szCs w:val="24"/>
                <w:color w:val="auto"/>
              </w:rPr>
            </w:pPr>
          </w:p>
        </w:tc>
        <w:tc>
          <w:tcPr>
            <w:tcW w:w="4140" w:type="dxa"/>
            <w:vAlign w:val="bottom"/>
            <w:gridSpan w:val="2"/>
          </w:tcPr>
          <w:p>
            <w:pPr>
              <w:ind w:left="500"/>
              <w:spacing w:after="0"/>
              <w:rPr>
                <w:sz w:val="20"/>
                <w:szCs w:val="20"/>
                <w:color w:val="auto"/>
              </w:rPr>
            </w:pPr>
            <w:r>
              <w:rPr>
                <w:rFonts w:ascii="Arial" w:cs="Arial" w:eastAsia="Arial" w:hAnsi="Arial"/>
                <w:sz w:val="18"/>
                <w:szCs w:val="18"/>
                <w:color w:val="auto"/>
              </w:rPr>
              <w:t>F-5</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Limited Partners</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60" w:type="dxa"/>
            <w:vAlign w:val="bottom"/>
            <w:gridSpan w:val="5"/>
          </w:tcPr>
          <w:p>
            <w:pPr>
              <w:jc w:val="right"/>
              <w:ind w:right="310"/>
              <w:spacing w:after="0" w:line="142" w:lineRule="exact"/>
              <w:rPr>
                <w:sz w:val="20"/>
                <w:szCs w:val="20"/>
                <w:color w:val="auto"/>
              </w:rPr>
            </w:pPr>
            <w:r>
              <w:rPr>
                <w:rFonts w:ascii="Arial" w:cs="Arial" w:eastAsia="Arial" w:hAnsi="Arial"/>
                <w:sz w:val="14"/>
                <w:szCs w:val="14"/>
                <w:b w:val="1"/>
                <w:bCs w:val="1"/>
                <w:color w:val="auto"/>
              </w:rPr>
              <w:t>General Partner</w:t>
            </w:r>
          </w:p>
        </w:tc>
        <w:tc>
          <w:tcPr>
            <w:tcW w:w="1800" w:type="dxa"/>
            <w:vAlign w:val="bottom"/>
            <w:gridSpan w:val="3"/>
          </w:tcPr>
          <w:p>
            <w:pPr>
              <w:jc w:val="right"/>
              <w:ind w:right="131"/>
              <w:spacing w:after="0" w:line="142" w:lineRule="exact"/>
              <w:rPr>
                <w:sz w:val="20"/>
                <w:szCs w:val="20"/>
                <w:color w:val="auto"/>
              </w:rPr>
            </w:pPr>
            <w:r>
              <w:rPr>
                <w:rFonts w:ascii="Arial" w:cs="Arial" w:eastAsia="Arial" w:hAnsi="Arial"/>
                <w:sz w:val="14"/>
                <w:szCs w:val="14"/>
                <w:b w:val="1"/>
                <w:bCs w:val="1"/>
                <w:color w:val="auto"/>
              </w:rPr>
              <w:t>Common Unitholders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08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Navios</w:t>
            </w:r>
          </w:p>
        </w:tc>
        <w:tc>
          <w:tcPr>
            <w:tcW w:w="6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7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8"/>
              </w:rPr>
              <w:t>Amount</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Units</w:t>
            </w: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Partners’</w:t>
            </w: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Receivable</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1,695,509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$ 4,169</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83,079,710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$728,046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$732,215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$732,215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Equity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public offering and issuance of</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units, net of offering costs (see note 8)</w:t>
            </w: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244,201</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w w:val="98"/>
              </w:rPr>
              <w:t>Net proceeds from issuance of general partner units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(see note 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4,984</w:t>
            </w:r>
          </w:p>
        </w:tc>
        <w:tc>
          <w:tcPr>
            <w:tcW w:w="800" w:type="dxa"/>
            <w:vAlign w:val="bottom"/>
            <w:gridSpan w:val="3"/>
          </w:tcPr>
          <w:p>
            <w:pPr>
              <w:jc w:val="right"/>
              <w:ind w:right="7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(51,498)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Balance, December 31, 2016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1,700,493</w:t>
            </w:r>
          </w:p>
        </w:tc>
        <w:tc>
          <w:tcPr>
            <w:tcW w:w="8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$ 3,128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83,323,911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677,081</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680,209</w:t>
            </w: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680,209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Formation of Navios Containers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17,323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Issuance of restricted common units (see note 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2,040,000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public offering and issuance of</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units, net of offering costs (see note 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48,995,442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98,175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98,175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98,175</w:t>
            </w: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w w:val="98"/>
              </w:rPr>
              <w:t>Net proceeds from issuance of general partner units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(see note 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1,308,415</w:t>
            </w:r>
          </w:p>
        </w:tc>
        <w:tc>
          <w:tcPr>
            <w:tcW w:w="800" w:type="dxa"/>
            <w:vAlign w:val="bottom"/>
            <w:gridSpan w:val="3"/>
          </w:tcPr>
          <w:p>
            <w:pPr>
              <w:jc w:val="right"/>
              <w:ind w:right="70"/>
              <w:spacing w:after="0"/>
              <w:rPr>
                <w:sz w:val="20"/>
                <w:szCs w:val="20"/>
                <w:color w:val="auto"/>
              </w:rPr>
            </w:pPr>
            <w:r>
              <w:rPr>
                <w:rFonts w:ascii="Arial" w:cs="Arial" w:eastAsia="Arial" w:hAnsi="Arial"/>
                <w:sz w:val="18"/>
                <w:szCs w:val="18"/>
                <w:color w:val="auto"/>
              </w:rPr>
              <w:t>2,626</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units for transfer of Navios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 I Loans (see notes 8 &amp; 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13,076,923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28,862</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(29,423)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(1,563)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355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2017 (unaudited)</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3,008,908</w:t>
            </w:r>
          </w:p>
        </w:tc>
        <w:tc>
          <w:tcPr>
            <w:tcW w:w="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$ 5,723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147,436,276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803,519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(29,423)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779,819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17,678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797,497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gridSpan w:val="3"/>
          </w:tcPr>
          <w:p>
            <w:pPr>
              <w:jc w:val="right"/>
              <w:ind w:right="1020"/>
              <w:spacing w:after="0"/>
              <w:rPr>
                <w:sz w:val="20"/>
                <w:szCs w:val="20"/>
                <w:color w:val="auto"/>
              </w:rPr>
            </w:pPr>
            <w:r>
              <w:rPr>
                <w:rFonts w:ascii="Arial" w:cs="Arial" w:eastAsia="Arial" w:hAnsi="Arial"/>
                <w:sz w:val="18"/>
                <w:szCs w:val="18"/>
                <w:color w:val="auto"/>
                <w:w w:val="88"/>
              </w:rPr>
              <w:t>F-6</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Navios Maritime Partners L.P. (“Navios Partners” or the “Company”), is an international owner and operator of dry cargo and container vessels, formed on August 7, 2007 under the laws of the Republic of the Marshall Islands. Navios GP L.L.C. (the “General Partner”), a wholly owned subsidiary of Navios Maritime Holdings Inc. (“Navios Holdings”), was also formed on that date to act as the general partner of Navios Partners and received a 2.0% general partner interest in Navios Partners.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Navios Partners is engaged in the seaborne transportation services of a wide range of dry cargo commodities including iron ore, coal, grain, fertilizer and also containers, chartering its vessels under medium to long-term charters. The operations of Navios Partners are managed by Navios ShipManagement Inc., a subsidiary of Navios Holdings (the “Manager”), from its offices in Piraeus, Greece, Singapore and Monaco.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initial public offering (“IPO”) on November 16, 2007, Navios Partners entered into the following agreements:</w:t>
      </w:r>
    </w:p>
    <w:p>
      <w:pPr>
        <w:spacing w:after="0" w:line="117" w:lineRule="exact"/>
        <w:rPr>
          <w:sz w:val="20"/>
          <w:szCs w:val="20"/>
          <w:color w:val="auto"/>
        </w:rPr>
      </w:pPr>
    </w:p>
    <w:p>
      <w:pPr>
        <w:ind w:right="220"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management agreement with the Manager (the “Management Agreement”), pursuant to which the Manager provides Navios Partners commercial and technical management services;</w:t>
      </w:r>
    </w:p>
    <w:p>
      <w:pPr>
        <w:spacing w:after="0" w:line="62" w:lineRule="exact"/>
        <w:rPr>
          <w:rFonts w:ascii="Arial" w:cs="Arial" w:eastAsia="Arial" w:hAnsi="Arial"/>
          <w:sz w:val="18"/>
          <w:szCs w:val="18"/>
          <w:color w:val="auto"/>
        </w:rPr>
      </w:pPr>
    </w:p>
    <w:p>
      <w:pPr>
        <w:ind w:right="42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administrative services agreement with the Manager (the “Administrative Services Agreement”), pursuant to which the Manager provides Navios Partners administrative services; and</w:t>
      </w:r>
    </w:p>
    <w:p>
      <w:pPr>
        <w:spacing w:after="0" w:line="62" w:lineRule="exact"/>
        <w:rPr>
          <w:rFonts w:ascii="Arial" w:cs="Arial" w:eastAsia="Arial" w:hAnsi="Arial"/>
          <w:sz w:val="18"/>
          <w:szCs w:val="18"/>
          <w:color w:val="auto"/>
        </w:rPr>
      </w:pPr>
    </w:p>
    <w:p>
      <w:pPr>
        <w:ind w:right="240"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omnibus agreement with Navios Holdings (the “Omnibus Agreement”), governing, among other things, when Navios Partners and Navios Holdings may compete against each other as well as rights of first offer on certain drybulk carriers.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June 30, 2017, there were outstanding: 147,436,276 common units and 3,008,908 general partnership units. As of June 30, 2017, Navios Holdings owned a 20.9% interest in Navios Partners, which included a 2.0% general partner interest.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Navios Containers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Navios Maritime Containers Inc. (“Navios Containers”), a consolidated subsidiary of the Company, was established in the Republic of the Marshall Islands on April 28, 2017. The Company is a growth vehicle dedicated to the container sector of the maritime industry.</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June 8, 2017, Navios Containers closed its private placement and issued 10,057,645 shares for total gross proceeds of $50,288 at a subscription price of $5.00 per share. Navios Partners invested $30,000 and received 59.7% of the equity, and Navios Holdings invested $5,000 and received 9.9% of the equity of Navios Containers. Each of Navios Partners and Navios Holdings also received warrants, with a five-year term, for 6.8% and 1.7% of the equity,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Navios Containers used the proceeds from the private placement to acquire five 4,250 TEU vessels from Navios Partners for a total purchase price of</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$64,000. These vessels, recently acquired by Navios Partners from Rickmers Maritime Trust Pte. (“Rickmers Trust”), are employed on charters with a net daily charter rate of $26,850. The charters expire in 2018 and early 2019.</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Navios Containers acquired all the rights under the acquisition agreements entered into between Navios Partners and Rickmers Trust to purchase the remaining nine vessels (the “RMT Fleet”) in the original 14-vessel container fleet.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June 12, 2017, Navios Containers also registered and began trading on the Norwegian Over-The-Counter Market under the ticker NMCI.</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interim condensed consolidated financial statements are unaudited, but, in the opinion of management, reflect all adjustments for a fair statement of Navios Partners’ consolidated financial positions, statement of partner’s capital, statements of operations and cash flows for the periods presented. The results of operations for the interim periods are not necessarily indicative of results for the full year. The footnotes are condensed as permitted by the requirements for interim financial statements and accordingly, do not include information and disclosures required under United States generally accepted accounting principles (“U.S. GAAP”) for complete financial statements. All such adjustments are deemed to be of a normal recurring nature. These interim financial statements should be read in conjunction with the Company’s consolidated financial statements and notes included in Navios Partners’ 2016 Annual Report filed on Form 20-F with the Securities and Exchange Commission (“SEC”).</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Based on internal forecasts and projections that take into account reasonably possible changes in our trading performance, management believes that the Company has adequate financial resources to continue in operation and meet its financial commitments, including but not limited to capital expenditures and debt service obligations, for a period of at least twelve months from the date of issuance of these interim condensed consolidated financial statements. Accordingly, the Company continues to adopt the going concern basis in preparing its financial statements.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elected to early adopt the requirements of ASU 2017-01 effective beginning the second quarter ending June 30, 2017 and applied this guidance prospectively in the current period presented in the Company’s condensed consolidated financial information in connection with the acquisition of the five container vessels (see note 4). The early adoption of this ASU did not have a material effect on the Company’s consolidated financial statements.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and per unit data)</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consolidated financial statements include the following entities: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Country of</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Vessel 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0" w:type="dxa"/>
            <w:vAlign w:val="bottom"/>
          </w:tcPr>
          <w:p>
            <w:pPr>
              <w:spacing w:after="0"/>
              <w:rPr>
                <w:sz w:val="1"/>
                <w:szCs w:val="1"/>
                <w:color w:val="auto"/>
              </w:rPr>
            </w:pPr>
          </w:p>
        </w:tc>
      </w:tr>
      <w:tr>
        <w:trPr>
          <w:trHeight w:val="195"/>
        </w:trPr>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3"/>
              </w:rPr>
              <w:t>Libra Shipping</w:t>
            </w:r>
          </w:p>
        </w:tc>
        <w:tc>
          <w:tcPr>
            <w:tcW w:w="5180" w:type="dxa"/>
            <w:vAlign w:val="bottom"/>
          </w:tcPr>
          <w:p>
            <w:pPr>
              <w:ind w:left="160"/>
              <w:spacing w:after="0" w:line="195" w:lineRule="exact"/>
              <w:rPr>
                <w:sz w:val="20"/>
                <w:szCs w:val="20"/>
                <w:color w:val="auto"/>
              </w:rPr>
            </w:pPr>
            <w:r>
              <w:rPr>
                <w:rFonts w:ascii="Arial" w:cs="Arial" w:eastAsia="Arial" w:hAnsi="Arial"/>
                <w:sz w:val="18"/>
                <w:szCs w:val="18"/>
                <w:color w:val="auto"/>
              </w:rPr>
              <w:t>Enterprises Corporation</w:t>
            </w:r>
          </w:p>
        </w:tc>
        <w:tc>
          <w:tcPr>
            <w:tcW w:w="1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Navios Libra II</w:t>
            </w:r>
          </w:p>
        </w:tc>
        <w:tc>
          <w:tcPr>
            <w:tcW w:w="12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Alegria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Navios Alegria</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Felicity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Navios Felicity</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Gemini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Navios Gemini S</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Galaxy Shipping Corporation</w:t>
            </w: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Navios Galaxy I</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Aurora Shipping Enterprises Ltd.</w:t>
            </w: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Navios Hope</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Palermo Shipping S.A. (***)</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Navios Apollon</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Fantastiks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Navios Fantastiks</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Sagittarius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Navios Sagittarius</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Hyperion Enterprises Inc.</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Navios Hyperion</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Chilali Corp.</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Navios Aurora II</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Surf Maritime Co.</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Navios Pollux</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Pandora Marine Inc.</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Navios Melodia</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Customized Development S.A.</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Navios Fulvia</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Liberia</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Kohylia Shipmanagement S.A.</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Navios Luz</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Orbiter Shipping Corp.</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Navios Orbiter</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Floral Marine Ltd.</w:t>
            </w: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Navios Buena Ventura</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Golem Navigation Limited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Navios Soleil</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Kymata Shipping Co.</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Navios Helios</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Joy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Navios Joy</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Micaela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Navios Harmony</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Pearl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Navios Sun</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Velvet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Navios La Paix</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Perigiali Navigation Limited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Navios Beaufiks</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Finian Navigation Co.</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Navios Ace</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Ammos Shipping Corp.</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Navios Prosperity I</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Rubina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Hyundai Hongkong</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Topaz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Hyundai Singapore</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Beryl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Hyundai Tokyo</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Cheryl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Hyundai Shanghai</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Christal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Hyundai Busan</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Fairy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YM Utmost</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Limestone Shipping Corporation</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rPr>
              <w:t>YM Unity</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Dune Shipping Corp. (**)</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MSC Cristina</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Citrine Shipping Corporation</w:t>
            </w: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Olympia II Navigation Limited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MOL Dominance</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Pingel Navigation Limited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MOL Delight</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Ebba Navigation Limited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MOL Destiny</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Clan Navigation Limited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MOL Devotion</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2"/>
        </w:trPr>
        <w:tc>
          <w:tcPr>
            <w:tcW w:w="6160" w:type="dxa"/>
            <w:vAlign w:val="bottom"/>
            <w:gridSpan w:val="2"/>
          </w:tcPr>
          <w:p>
            <w:pPr>
              <w:spacing w:after="0"/>
              <w:rPr>
                <w:sz w:val="20"/>
                <w:szCs w:val="20"/>
                <w:color w:val="auto"/>
              </w:rPr>
            </w:pPr>
            <w:r>
              <w:rPr>
                <w:rFonts w:ascii="Arial" w:cs="Arial" w:eastAsia="Arial" w:hAnsi="Arial"/>
                <w:sz w:val="18"/>
                <w:szCs w:val="18"/>
                <w:color w:val="auto"/>
              </w:rPr>
              <w:t>Sui An Navigation Limited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MOL Dedication</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20"/>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JTC Shipping and Trading Ltd (*)</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Holding Company</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Malta</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Navios Maritime Partners L.P.</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Navios Maritime Operating L.L.C.</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Navios Partners Finance (US) Inc.</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Co-Borrower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Navios Partners Europe Finance Inc.</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Sub-Holding</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Company</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Navios Partners Containers Finance Inc.</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Navios Partners Containers Inc.</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-6731635</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-6448425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-6174105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-5899785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-5624830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-5350510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-5076190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-4801870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-4253230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-3978275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-3703955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-3429635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-3155315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-2331720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Nota vessel-owning subsidiary and only holds right to charter-in contracts.</w:t>
      </w:r>
    </w:p>
    <w:p>
      <w:pPr>
        <w:spacing w:after="0" w:line="23" w:lineRule="exact"/>
        <w:rPr>
          <w:sz w:val="20"/>
          <w:szCs w:val="20"/>
          <w:color w:val="auto"/>
        </w:rPr>
      </w:pPr>
    </w:p>
    <w:p>
      <w:pPr>
        <w:ind w:right="2160" w:firstLine="8"/>
        <w:spacing w:after="0" w:line="261" w:lineRule="auto"/>
        <w:tabs>
          <w:tab w:leader="none" w:pos="4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Thevessel was classified as held for sale and was sold on January 12, 2017 (see note 4). (***) Thevessel was sold on April 21, 2017 (see note 4).</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Statements of operations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60" w:type="dxa"/>
            <w:vAlign w:val="bottom"/>
            <w:tcBorders>
              <w:top w:val="single" w:sz="8" w:color="auto"/>
              <w:bottom w:val="single" w:sz="8" w:color="auto"/>
            </w:tcBorders>
          </w:tcPr>
          <w:p>
            <w:pPr>
              <w:jc w:val="right"/>
              <w:ind w:right="35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r>
      <w:tr>
        <w:trPr>
          <w:trHeight w:val="195"/>
        </w:trPr>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1/01 – 06/30</w:t>
            </w:r>
          </w:p>
        </w:tc>
        <w:tc>
          <w:tcPr>
            <w:tcW w:w="16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04/21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06/09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06/07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01/12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18"/>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30"/>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418"/>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 – 06/30</w:t>
            </w:r>
          </w:p>
        </w:tc>
      </w:tr>
      <w:tr>
        <w:trPr>
          <w:trHeight w:val="21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05/25 – 06/30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8960" w:space="120"/>
            <w:col w:w="234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6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on hand and at banks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79,749</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cash and cash equivalents</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79,749</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17,360</w:t>
            </w:r>
          </w:p>
        </w:tc>
        <w:tc>
          <w:tcPr>
            <w:tcW w:w="6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at each of June 30, 2017 and December 31, 2016, included $799 and $2,228, respectively, which related to amounts held in retention accounts as required by certain of Navios Partners’ credit facilities. Also, as of June 30, 2017 and December 31, 2016, an amount of $5,500 was held as security in the form of a letter of guarantee, relating to the chartering of a vessel.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VESSELS, NET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Vessels</w:t>
            </w:r>
          </w:p>
        </w:tc>
        <w:tc>
          <w:tcPr>
            <w:tcW w:w="12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71"/>
        </w:trPr>
        <w:tc>
          <w:tcPr>
            <w:tcW w:w="608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$1,506,188</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(276,139)</w:t>
            </w: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$1,230,049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Additions</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15,341</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(55,983)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(40,642)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 losses</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(42,231)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(27,201)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Transfer to vessel held for sale</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$1,354,298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(317,092)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$1,037,206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Additions</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77,409</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(27,009)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50,400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(4,291)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Balance June 30, 2017</w:t>
            </w: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1,427,416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(343,778</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1,083,638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30, 2016, Navios Partners acquired from an unrelated third party the Navios Beaufiks, a 2004-Japanese-built Capesize vessel of 180,310 dwt, for an acquisition cost of $15,341.</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7, 2017, Navios Partners acquired from an unrelated third party the Navios Prosperity I, a 2007 South Korean-built Panamax vessel of 75,527 dwt, for an acquisition cost of $13,687.</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June 9, 2017, Navios Partners acquired from an unrelated third party the Navios Ace, a 2011 South Korean-built Capesize vessel of 179,016 dwt, for an acquisition cost of $31,364.</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On April 21, 2017, Navios Partners sold the vessel Navios Apollon to an unrelated third party for a net sale price of $4,750. The aggregate net carrying amount of the vessel including the remaining carrying balance of dry dock and special survey costs of $782 amounted to $4,750 as at the date of sale.</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May 25, 2017, Navios Partners purchased five container vessels, including working capital items, and the charter out contracts from Rickmers Trust for a purchase price of $59,000 in cash plus transaction costs of $1,696. The vessel acquisitions were treated as asset acquisitions and recorded at fair value. The fair value of the vessels was $32,358 and the time charters of $27,457 (see Note 5).</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Deposits for vessel acquisitions represent deposits for vessels to be delivered in the future. As of June 30, 2017 and December 31, 2016, Navios Partners deposits amounted to $9,904 and $0,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Containers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8, 2017, Navios Containers purchased from Navios Partners the five container vessels and the charter out contracts for a purchase price of $64,000. The payment terms included a $24,000 credit by Navios Partners for a period of up to 90 days from the purchase date at LIBOR plus 375 bps, of which an amount of $10,000 was paid as of June 30, 2017. The vessel acquisitions were treated as a transaction between entities under common control which is eliminated upon consolidation.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impairment losses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9, 2017, Navios Partners entered into a Memorandum of Agreement with an unrelated third party for the disposal of the Navios Apollon for a net sale price of $4,750. The vessel is subject to an existing time charter with an unrelated charterer and was not immediately available for sale and therefore did not qualify as an asset held for sale as of December 31, 2016. As of December 31, 2016, the Company had a current expectation that the vessel would be sold before the end of its previously estimated useful life, and as a result performed an impairment test of the specific asset group. An impairment loss of $10,008 has been recognized under the line item “Vessel impairment losses” in the Consolidated Statements of Operations as of December 31, 2016. The vessel was sold on April 21, 2017.</w:t>
      </w:r>
    </w:p>
    <w:p>
      <w:pPr>
        <w:spacing w:after="0" w:line="16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During June 2016, Navios Partners entered into a Memorandum of Agreement with an unrelated third party, for the disposal of the MSC Cristina. The vessel was subject to an existing time charter and management had committed to a plan to sell the vessel to the current charterer prior to June 2017.</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2016, the vessel had been classified as held for sale as the relevant criteria for the classification were met and, therefore, it was presented in the consolidated balance sheets at its fair value less cost to sell totaling $125,000. An impairment loss of $17,193 for the vessel held for sale, was included under “Vessel impairment losses” in the condensed consolidated Statements of Operations as of June 30, 2016. The vessel was sold on January 12, 2017 and proceeds from the sale of the vessel were used to fully repay the outstanding amount of the April 2015 Credit Facility and the June 2016 Credit Facility (see Note 6). The loss on sale of the vessel was $1,260 (see Note 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2017 and December 31, 2016 consisted of the following:</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Cost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Favorable lease terms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127,788</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(72,449)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(15,861)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(15,861)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Accelerated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(44,072)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Favorable lease terms December 31, 2016</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83,716</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(64,764)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27,457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Favorable lease terms June 30, 2017</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111,173</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(73,210)</w:t>
            </w:r>
          </w:p>
        </w:tc>
        <w:tc>
          <w:tcPr>
            <w:tcW w:w="5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37,963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of favorable lease terms for the three and six month periods ended June 30, 2017 and 2016 is presented in the following table:</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Three Month Period Ended</w:t>
            </w:r>
          </w:p>
        </w:tc>
        <w:tc>
          <w:tcPr>
            <w:tcW w:w="10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 Period Ended</w:t>
            </w:r>
          </w:p>
        </w:tc>
      </w:tr>
      <w:tr>
        <w:trPr>
          <w:trHeight w:val="119"/>
        </w:trPr>
        <w:tc>
          <w:tcPr>
            <w:tcW w:w="3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6"/>
              </w:rPr>
              <w:t>June 30,</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w w:val="96"/>
              </w:rPr>
              <w:t>June 30,</w:t>
            </w:r>
          </w:p>
        </w:tc>
        <w:tc>
          <w:tcPr>
            <w:tcW w:w="48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r>
      <w:tr>
        <w:trPr>
          <w:trHeight w:val="171"/>
        </w:trPr>
        <w:tc>
          <w:tcPr>
            <w:tcW w:w="3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4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terms charter-out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(8,446)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(8,519)</w:t>
            </w: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(5,275</w:t>
            </w:r>
          </w:p>
        </w:tc>
        <w:tc>
          <w:tcPr>
            <w:tcW w:w="500" w:type="dxa"/>
            <w:vAlign w:val="bottom"/>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(4,405</w:t>
            </w:r>
          </w:p>
        </w:tc>
        <w:tc>
          <w:tcPr>
            <w:tcW w:w="480" w:type="dxa"/>
            <w:vAlign w:val="bottom"/>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(8,446</w:t>
            </w:r>
          </w:p>
        </w:tc>
        <w:tc>
          <w:tcPr>
            <w:tcW w:w="500" w:type="dxa"/>
            <w:vAlign w:val="bottom"/>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2500" w:type="dxa"/>
            <w:vAlign w:val="bottom"/>
            <w:gridSpan w:val="2"/>
          </w:tcPr>
          <w:p>
            <w:pPr>
              <w:jc w:val="right"/>
              <w:ind w:right="745"/>
              <w:spacing w:after="0"/>
              <w:rPr>
                <w:sz w:val="20"/>
                <w:szCs w:val="20"/>
                <w:color w:val="auto"/>
              </w:rPr>
            </w:pPr>
            <w:r>
              <w:rPr>
                <w:rFonts w:ascii="Arial" w:cs="Arial" w:eastAsia="Arial" w:hAnsi="Arial"/>
                <w:sz w:val="18"/>
                <w:szCs w:val="18"/>
                <w:color w:val="auto"/>
              </w:rPr>
              <w:t>F-11</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amortization of the intangibles for the 12-month periods ended June 30 is estimated to be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86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2017</w:t>
            </w:r>
          </w:p>
        </w:tc>
        <w:tc>
          <w:tcPr>
            <w:tcW w:w="39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2018</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7,663</w:t>
            </w:r>
          </w:p>
        </w:tc>
        <w:tc>
          <w:tcPr>
            <w:tcW w:w="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6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2020</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60" w:type="dxa"/>
            <w:vAlign w:val="bottom"/>
            <w:shd w:val="clear" w:color="auto" w:fill="CCEEFF"/>
          </w:tcPr>
          <w:p>
            <w:pPr>
              <w:spacing w:after="0"/>
              <w:rPr>
                <w:sz w:val="18"/>
                <w:szCs w:val="18"/>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2022 and thereafter</w:t>
            </w:r>
          </w:p>
        </w:tc>
        <w:tc>
          <w:tcPr>
            <w:tcW w:w="28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r>
      <w:tr>
        <w:trPr>
          <w:trHeight w:val="216"/>
        </w:trPr>
        <w:tc>
          <w:tcPr>
            <w:tcW w:w="3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37,963</w:t>
            </w:r>
          </w:p>
        </w:tc>
        <w:tc>
          <w:tcPr>
            <w:tcW w:w="6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May 25, 2017, Navios Partners purchased five container vessels and the charter out contracts from Rickmers Trust (see Note 4). Favorable lease terms recognized through this transaction amounted to $27,457 and were related to the acquisition of the rights on the time charter-out contracts of the vessels.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2016, Navios Partners accelerated $20,526 of amortization of the Navios Luz and the Navios Buena Ventura favorable lease intangibles due to a change in their useful life following the termination of the Charter Party and early re-delivery of the vessels from Hanjin Shipping Co. on September 13,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subject to amortization are amortized using straight line method over their estimated useful lives to their estimated residual value of zero.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useful lives are 7.9 years for favorable lease terms charter out.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Borrowings as of June 30, 2017 and December 31, 2016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34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B facility</w:t>
            </w:r>
          </w:p>
        </w:tc>
        <w:tc>
          <w:tcPr>
            <w:tcW w:w="1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$399,937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386,292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Credit facilities</w:t>
            </w:r>
          </w:p>
        </w:tc>
        <w:tc>
          <w:tcPr>
            <w:tcW w:w="1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141,805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borrowings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$494,312</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528,097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Long-term unamortized discount</w:t>
            </w:r>
          </w:p>
        </w:tc>
        <w:tc>
          <w:tcPr>
            <w:tcW w:w="2660" w:type="dxa"/>
            <w:vAlign w:val="bottom"/>
            <w:gridSpan w:val="3"/>
          </w:tcPr>
          <w:p>
            <w:pPr>
              <w:jc w:val="right"/>
              <w:ind w:right="280"/>
              <w:spacing w:after="0"/>
              <w:rPr>
                <w:sz w:val="20"/>
                <w:szCs w:val="20"/>
                <w:color w:val="auto"/>
              </w:rPr>
            </w:pPr>
            <w:r>
              <w:rPr>
                <w:rFonts w:ascii="Arial" w:cs="Arial" w:eastAsia="Arial" w:hAnsi="Arial"/>
                <w:sz w:val="18"/>
                <w:szCs w:val="18"/>
                <w:color w:val="auto"/>
              </w:rPr>
              <w:t>(12,611)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 net</w:t>
            </w:r>
          </w:p>
        </w:tc>
        <w:tc>
          <w:tcPr>
            <w:tcW w:w="2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(36,170)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Deferred financing costs, net</w:t>
            </w:r>
          </w:p>
        </w:tc>
        <w:tc>
          <w:tcPr>
            <w:tcW w:w="16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(6,684)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net</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438,847</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449,745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As of June 30, 2017, the total borrowings, net under the Navios Partners’ credit facilities, including Navios Containers’ credit facilities, were $475,017. F-12</w:t>
      </w:r>
    </w:p>
    <w:p>
      <w:pPr>
        <w:sectPr>
          <w:pgSz w:w="11900" w:h="16838" w:orient="portrait"/>
          <w:cols w:equalWidth="0" w:num="1">
            <w:col w:w="11260"/>
          </w:cols>
          <w:pgMar w:left="240" w:top="459" w:right="3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Partners</w:t>
      </w:r>
    </w:p>
    <w:p>
      <w:pPr>
        <w:spacing w:after="0" w:line="11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Term Loan B Credit Facility: </w:t>
      </w:r>
      <w:r>
        <w:rPr>
          <w:rFonts w:ascii="Arial" w:cs="Arial" w:eastAsia="Arial" w:hAnsi="Arial"/>
          <w:sz w:val="16"/>
          <w:szCs w:val="16"/>
          <w:color w:val="auto"/>
        </w:rPr>
        <w:t>In June 2013, Navios Partners completed the issuance of the $250,000 Term Loan B facility. On October 31, 2013 and</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1, 2013, Navios Partners completed the issuance of a $189,500 add-on to its existing Term Loan B facility. The add-on to the Term Loan B facility bore the same terms as Term Loan B facility. Navios Partners used the net proceeds to partially finance the acquisition of five Container vessels.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14, 2017, Navios Partners completed the issuance of a new $405,000 Term Loan B facility. The Term Loan B facility bears an interest rate of LIBOR plus 500 bps and has a three and a half year term with 5.0% amortization profile and was issued at 96.6%. The Term Loan B facility is secured by first priority mortgages covering certain vessels owned by subsidiaries of Navios Partners, in addition to other collateral, and guaranteed by each subsidiary of Navios Partners. Navios Partners used the net proceeds of the Term Loan B facility to: (i) to refinance the existing Term Loan B; and (ii) to pay fees and expenses related to the Term Loan. Following the refinancing of the Term Loan B facility, an amount of $1,880 and $1,275, was written-off from the deferred finance fees and discount, respectively.</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Term Loan B facility was secured by first priority mortgages covering certain vessels owned by subsidiaries of Navios Partners, in addition to other collateral, and is guaranteed by each subsidiary of Navios Partners.</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Term Loan B Agreement requires maintenance of a loan to value ratio of 0.8 to 1.0, and other restrictive covenants customary for facilities of this type (subject to negotiated exceptions and baskets), including restrictions on indebtedness, liens, acquisitions and investments, restricted payments and dispositions. The Term Loan B Agreement also provides for customary events of default, prepayment and cure provisions.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2017, the outstanding balance of the Term Loan B facility was $387,327, net of discount of $12,611. The final maturity date is September 14, 2020.</w:t>
      </w:r>
    </w:p>
    <w:p>
      <w:pPr>
        <w:spacing w:after="0" w:line="166"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b w:val="1"/>
          <w:bCs w:val="1"/>
          <w:color w:val="auto"/>
        </w:rPr>
        <w:t xml:space="preserve">ABN AMRO Credit Facility: </w:t>
      </w:r>
      <w:r>
        <w:rPr>
          <w:rFonts w:ascii="Arial" w:cs="Arial" w:eastAsia="Arial" w:hAnsi="Arial"/>
          <w:sz w:val="16"/>
          <w:szCs w:val="16"/>
          <w:color w:val="auto"/>
        </w:rPr>
        <w:t>On June 23, 2016, Navios Partners entered into a new credit facility with ABN AMRO Bank N.V. (the “June 2016 Credit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of up to $30,000 to be used for the general corporate purposes of the Borrower. The June 2016 Credit Facility bore interest at LIBOR plus</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400 bps per annum. The final maturity date was January 30, 2017. On January 12, 2017, Navios Partners fully repaid the June 2016 Credit Facility. As of June 30, 2017, there was no outstanding amount under this facility.</w:t>
      </w:r>
    </w:p>
    <w:p>
      <w:pPr>
        <w:spacing w:after="0" w:line="180"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 xml:space="preserve">BNP Credit Facility: </w:t>
      </w:r>
      <w:r>
        <w:rPr>
          <w:rFonts w:ascii="Arial" w:cs="Arial" w:eastAsia="Arial" w:hAnsi="Arial"/>
          <w:sz w:val="16"/>
          <w:szCs w:val="16"/>
          <w:color w:val="auto"/>
        </w:rPr>
        <w:t>On June 26, 2017, Navios Partners entered into a new credit facility with BNP PARIBAS (the “June 2017 Credit Facility”)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$32,000 (divided into two tranches) in order to finance a portion of the purchase price payable in connection with the acquisition of the Navios Ace and the Navios Sol. On June 28, 2017, the first tranche of June 2017 Credit Facility of $17,000 was drawn. The facility matures in the second quarter of 2021 and bears interest at LIBOR plus 300 bps per annum. As of June 30, 2017, the outstanding balance of the June 2017 Credit facility was $17,000.</w:t>
      </w:r>
    </w:p>
    <w:p>
      <w:pPr>
        <w:spacing w:after="0" w:line="15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Commerzbank/DVB Credit Facility: </w:t>
      </w:r>
      <w:r>
        <w:rPr>
          <w:rFonts w:ascii="Arial" w:cs="Arial" w:eastAsia="Arial" w:hAnsi="Arial"/>
          <w:sz w:val="18"/>
          <w:szCs w:val="18"/>
          <w:color w:val="auto"/>
        </w:rPr>
        <w:t>On January 8, 2016, Navios Partners prepaid the 2016 installments in the amount of $16,235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Commerzbank/DVB Credit Facility (the “July 2012 Credit Facility”). On November 10, 2016, Navios Partners prepaid $28,052 in cash for the settlement of a nominal amount of $30,192 of the July 2012 Credit facility achieving a $2,140 gain on debt repayment. The prepayments of 2016 of this facility were accounted for as debt modification in accordance with ASC470 </w:t>
      </w:r>
      <w:r>
        <w:rPr>
          <w:rFonts w:ascii="Arial" w:cs="Arial" w:eastAsia="Arial" w:hAnsi="Arial"/>
          <w:sz w:val="18"/>
          <w:szCs w:val="18"/>
          <w:i w:val="1"/>
          <w:iCs w:val="1"/>
          <w:color w:val="auto"/>
        </w:rPr>
        <w:t>Debt</w:t>
      </w:r>
      <w:r>
        <w:rPr>
          <w:rFonts w:ascii="Arial" w:cs="Arial" w:eastAsia="Arial" w:hAnsi="Arial"/>
          <w:sz w:val="18"/>
          <w:szCs w:val="18"/>
          <w:color w:val="auto"/>
        </w:rPr>
        <w:t>. Following these prepayments, an amount of $161 was written-off from the deferred finance fees.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28, 2017, Navios Partners enter into a new credit facility for an amount of up to $39,000 with DVB Bank S.E. in order to refinance the existing July 2012 credit facility amounted to $32,000 which matures in the third quarter of 2017 and an additional amount of $7,000 to partially finance the acquisition of the Navios Prosperity I. The facility matures in the third quarter of 2020 and bears interest at LIBOR plus 310 bps per annum. As of June 30, 2017, the outstanding balance of the July 2012 Credit facility was $43,055.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39"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HSH Credit Facility: </w:t>
      </w:r>
      <w:r>
        <w:rPr>
          <w:rFonts w:ascii="Arial" w:cs="Arial" w:eastAsia="Arial" w:hAnsi="Arial"/>
          <w:sz w:val="16"/>
          <w:szCs w:val="16"/>
          <w:color w:val="auto"/>
        </w:rPr>
        <w:t>On April 16, 2015, Navios Partners, through certain of its wholly-owned subsidiaries, entered into a term loan facility agreement of up</w:t>
      </w:r>
      <w:r>
        <w:rPr>
          <w:rFonts w:ascii="Arial" w:cs="Arial" w:eastAsia="Arial" w:hAnsi="Arial"/>
          <w:sz w:val="16"/>
          <w:szCs w:val="16"/>
          <w:b w:val="1"/>
          <w:bCs w:val="1"/>
          <w:color w:val="auto"/>
        </w:rPr>
        <w:t xml:space="preserve"> </w:t>
      </w:r>
      <w:r>
        <w:rPr>
          <w:rFonts w:ascii="Arial" w:cs="Arial" w:eastAsia="Arial" w:hAnsi="Arial"/>
          <w:sz w:val="16"/>
          <w:szCs w:val="16"/>
          <w:color w:val="auto"/>
        </w:rPr>
        <w:t>to $164,000 (divided into two tranches) with HSH Nordbank AG (the “April 2015 Credit Facility”), in order to finance a portion of the purchase price payable in connection with the acquisition of the MSC Cristina and one more super-post-panamax 13,100 TEU container vessel. On September 30, 2015, the second tranche of April 2015 Credit Facility of $83,000 was cancelled. The final maturity date was April 20, 2022. The April 2015 Credit Facility bore interest at LIBOR plus 275 basis points (“bps”) per annum. On January 12, 2017, Navios Partners fully repaid the April 2015 Credit Facility. Following the repayment, an amount of $516 was written-off from the deferred finance fees. As of June 30, 2017, there was no outstanding amount under this facility.</w:t>
      </w:r>
    </w:p>
    <w:p>
      <w:pPr>
        <w:spacing w:after="0" w:line="15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The Navios Holdings Credit Facility: </w:t>
      </w:r>
      <w:r>
        <w:rPr>
          <w:rFonts w:ascii="Arial" w:cs="Arial" w:eastAsia="Arial" w:hAnsi="Arial"/>
          <w:sz w:val="16"/>
          <w:szCs w:val="16"/>
          <w:color w:val="auto"/>
        </w:rPr>
        <w:t>In May 2015, Navios Partners entered into a term loan facility with Navios Holdings of up to $60,000 (the “Navios</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Credit Facility”). The Navios Holdings Credit Facility had a margin of LIBOR plus 300 bps. The final maturity date was January 2, 2017. In April 2016, the Company drew $21,000 from the Navios Holdings Credit Facility, which was fully repaid during April 2016. Following this prepayment, an amount of $600 was written off from the deferred finance fees. As of June 30, 2017, there was no outstanding amount under this facility.</w:t>
      </w:r>
    </w:p>
    <w:p>
      <w:pPr>
        <w:spacing w:after="0" w:line="15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Amounts drawn under the July 2012 Credit Facility and June 2017 Credit Facility are secured by first preferred mortgages on certain Navios Partners’ vessels and other collateral and are guaranteed by the respective vessel-owning subsidiary. The Credit Facilities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Navios Holdings’ (or its affiliates) ownership in Navios Partners of at least 15.0%; and subordinating the obligations under the credit facilities to any general and administrative costs relating to the vessels, including the fixed daily fee payable under the management agreement.</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Credit Facilities requires compliance with a number of financial covenants, including: (i) maintain a required security amount ranging over 130% to 140%; (ii) minimum free consolidated liquidity in an amount equal to at least $650 per owned vessel; (iii) maintain a ratio of EBITDA to interest expense of at least 2.00:1.00; (iv) maintain a ratio of total liabilities to total assets (as defined in our credit facilities) ranging of less than 0.75; and (v) maintain a minimum net worth to $135,000 for the periods prior to any distributions by the Company.</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 is an event of default under the credit facility if such covenants are not complied with in accordance with the terms and subject to the prepayment or cure provision of the facility.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June 30, 2017, Navios Partners was in compliance with the financial covenants and/or the prepayment and/or the cure provisions as applicable in each of its credit facilities.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Containers</w:t>
      </w:r>
    </w:p>
    <w:p>
      <w:pPr>
        <w:spacing w:after="0" w:line="113"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ABN AMRO BANK N.V</w:t>
      </w:r>
      <w:r>
        <w:rPr>
          <w:rFonts w:ascii="Arial" w:cs="Arial" w:eastAsia="Arial" w:hAnsi="Arial"/>
          <w:sz w:val="17"/>
          <w:szCs w:val="17"/>
          <w:color w:val="auto"/>
        </w:rPr>
        <w:t>: On June 29, 2017, Navios Containers entered into a facility agreement with ABN AMRO BANK N.V. for an amount of up to</w:t>
      </w:r>
      <w:r>
        <w:rPr>
          <w:rFonts w:ascii="Arial" w:cs="Arial" w:eastAsia="Arial" w:hAnsi="Arial"/>
          <w:sz w:val="17"/>
          <w:szCs w:val="17"/>
          <w:b w:val="1"/>
          <w:bCs w:val="1"/>
          <w:color w:val="auto"/>
        </w:rPr>
        <w:t xml:space="preserve"> </w:t>
      </w:r>
      <w:r>
        <w:rPr>
          <w:rFonts w:ascii="Arial" w:cs="Arial" w:eastAsia="Arial" w:hAnsi="Arial"/>
          <w:sz w:val="17"/>
          <w:szCs w:val="17"/>
          <w:color w:val="auto"/>
        </w:rPr>
        <w:t>$40,000 (divided in three tranches of up to $34,320, $3,180 and $2,500, respectively) to finance part of the purchase price of seven container vessels. This loan bears interest at a rate of LIBOR plus 385 basis points and commitment fee of 1.54% per annum on the undrawn loan amount effective from the date of the facility. As of June 30, 2017, the outstanding loan amount under this facility was $34,320 and the amount to be drawn was $5,680. The outstanding loan amount is repayable in 6 equal quarterly installments of $3,217.5 along with a final balloon payment of $15,015 on the final repayment date falling due on either the earlier of the date falling 18 months after drawdown of the last advance or December 31, 2018.</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July 27, 2017, Navios Containers entered into a facility agreement with the same commercial bank for an amount of up to $21,000 (divided in seven tranches) to finance part of the purchase price of the remaining seven vessels of the fleet. This facility bears interest at a rate of LIBOR plus 400 basis points and commitment fee of 1.6% per annum on the undrawn loan amount effective from the date of the facility. The facility is repayable in 5 equal quarterly installments of $840 along with a final balloon payment of $16,800 on the last repayment date. The facility has not yet been drawn.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Amounts drawn under the facility are secured by first priority mortgages on Navios Containers vessels. The credit facility contains a number of restrictive covenants that limit Navios Containers and/or its subsidiaries from, among other things: incurring or guaranteeing indebtedness; entering into affiliate transactions other than on arm’s length terms; charging, pledging or encumbering the vessels; changing the flag, class, management or ownership of Navios Containers’ vessels; acquiring any vessel or permitting any guarantor to acquire any further assets or make investments; purchasing or otherwise acquiring for value any shares of its capital or declaring or paying any dividends; permitting any guarantor to form or acquire any subsidiaries. The majority of credit facilities also require the vessels to comply with the ISM Code and ISPS Code and to maintain valid safety management certificates and documents of compliance at all times. Additionally, the facility requires compliance with certain financial covenants including maintenance covenants, such as loan-to-value ratio, minimum liquidity and ratio of liabilities to assets as defined in the credit facilities. It is an event of default under the credit facilities if such covenants are not complied with.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Navios Containers was in compliance with all of the covenants under each of its 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maturity table below reflects the gross principal payments due under its credit facilities for the 12-month periods ended June 30:</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2018</w:t>
            </w:r>
          </w:p>
        </w:tc>
        <w:tc>
          <w:tcPr>
            <w:tcW w:w="39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2019</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49,962</w:t>
            </w:r>
          </w:p>
        </w:tc>
        <w:tc>
          <w:tcPr>
            <w:tcW w:w="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30,990</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2021</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370,341</w:t>
            </w:r>
          </w:p>
        </w:tc>
        <w:tc>
          <w:tcPr>
            <w:tcW w:w="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494,312</w:t>
            </w:r>
          </w:p>
        </w:tc>
        <w:tc>
          <w:tcPr>
            <w:tcW w:w="6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OF FINANCIAL INSTRUMENTS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carrying value amounts of many of Navios Partners’ financial instruments, including cash and cash equivalents, restricted cash, accounts receivable and accounts payable and amounts due to related parties approximate their fair value due primarily to the short-term maturity of the related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1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Cash and cash equivalents and restricted cash: </w:t>
      </w:r>
      <w:r>
        <w:rPr>
          <w:rFonts w:ascii="Arial" w:cs="Arial" w:eastAsia="Arial" w:hAnsi="Arial"/>
          <w:sz w:val="18"/>
          <w:szCs w:val="18"/>
          <w:color w:val="auto"/>
        </w:rPr>
        <w:t>The carrying amounts reported in the consolidated balance sheets for interest bearing deposits and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funds approximate their fair value because of the short maturity of these investments.</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Other long-term debt, net: </w:t>
      </w:r>
      <w:r>
        <w:rPr>
          <w:rFonts w:ascii="Arial" w:cs="Arial" w:eastAsia="Arial" w:hAnsi="Arial"/>
          <w:sz w:val="18"/>
          <w:szCs w:val="18"/>
          <w:color w:val="auto"/>
        </w:rPr>
        <w:t>The book value has been adjusted to reflect the net presentation of deferred financing costs. The outstanding balance of floating</w:t>
      </w:r>
      <w:r>
        <w:rPr>
          <w:rFonts w:ascii="Arial" w:cs="Arial" w:eastAsia="Arial" w:hAnsi="Arial"/>
          <w:sz w:val="18"/>
          <w:szCs w:val="18"/>
          <w:b w:val="1"/>
          <w:bCs w:val="1"/>
          <w:color w:val="auto"/>
        </w:rPr>
        <w:t xml:space="preserve"> </w:t>
      </w:r>
      <w:r>
        <w:rPr>
          <w:rFonts w:ascii="Arial" w:cs="Arial" w:eastAsia="Arial" w:hAnsi="Arial"/>
          <w:sz w:val="18"/>
          <w:szCs w:val="18"/>
          <w:color w:val="auto"/>
        </w:rPr>
        <w:t>rate loans continues to approximate its fair value, excluding the effect of any deferred finance costs.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Term Loan B facility: </w:t>
      </w:r>
      <w:r>
        <w:rPr>
          <w:rFonts w:ascii="Arial" w:cs="Arial" w:eastAsia="Arial" w:hAnsi="Arial"/>
          <w:sz w:val="18"/>
          <w:szCs w:val="18"/>
          <w:color w:val="auto"/>
        </w:rPr>
        <w:t>The fair value of the Company’s debt is estimated based on currently available debt with similar contract terms, interest 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maturities, as well as taking into account our creditworthiness. The book value has been adjusted to reflect the net presentation of deferred finance fees.</w:t>
      </w:r>
    </w:p>
    <w:p>
      <w:pPr>
        <w:spacing w:after="0" w:line="17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Due to related parties, long-term: </w:t>
      </w:r>
      <w:r>
        <w:rPr>
          <w:rFonts w:ascii="Arial" w:cs="Arial" w:eastAsia="Arial" w:hAnsi="Arial"/>
          <w:sz w:val="18"/>
          <w:szCs w:val="18"/>
          <w:color w:val="auto"/>
        </w:rPr>
        <w:t>The carrying amount of due to related parties, long-term reported in the balance sheet approximates its fair value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long-term nature of these payables.</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Due from related parties, long-term: </w:t>
      </w:r>
      <w:r>
        <w:rPr>
          <w:rFonts w:ascii="Arial" w:cs="Arial" w:eastAsia="Arial" w:hAnsi="Arial"/>
          <w:sz w:val="18"/>
          <w:szCs w:val="18"/>
          <w:color w:val="auto"/>
        </w:rPr>
        <w:t>The carrying amount of due from related parties long-term reported in the balance sheet approximates its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long-term nature of these receivables.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Navios Partners’ financial instruments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 2016</w:t>
            </w:r>
          </w:p>
        </w:tc>
      </w:tr>
      <w:tr>
        <w:trPr>
          <w:trHeight w:val="142"/>
        </w:trPr>
        <w:tc>
          <w:tcPr>
            <w:tcW w:w="620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Book Value</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Book Value</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6,299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6,299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7,728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7,728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from affiliates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Amounts due to related parties, long-term</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11,105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11,105</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long-term</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Term Loan B facility, net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(382,179)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(399,438)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(382,653)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(360,700)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(92,837)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(94,375)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(141,124)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(141,805)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Notes receivable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22,849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6,112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estimated fair value of our financial instruments that are not measured at fair value on a recurring basis, categorized based upon the fair value hierarchy, are as follows: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Level I: Inputs are unadjusted, quoted prices for identical assets or liabilities in active markets that we have the ability to access. Valuation of these items does not entail a significant amount of judgment.</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Level II: Inputs other than quoted prices included in Level I that are observable for the asset or liability through corroboration with market data at the measurement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Level III: Inputs that are unobservable. The Company did not use any Level III inputs as of June 30, 2017 and December 31,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10"/>
          </w:tcPr>
          <w:p>
            <w:pPr>
              <w:jc w:val="center"/>
              <w:ind w:left="374"/>
              <w:spacing w:after="0"/>
              <w:rPr>
                <w:sz w:val="20"/>
                <w:szCs w:val="20"/>
                <w:color w:val="auto"/>
              </w:rPr>
            </w:pPr>
            <w:r>
              <w:rPr>
                <w:rFonts w:ascii="Arial" w:cs="Arial" w:eastAsia="Arial" w:hAnsi="Arial"/>
                <w:sz w:val="14"/>
                <w:szCs w:val="14"/>
                <w:b w:val="1"/>
                <w:bCs w:val="1"/>
                <w:color w:val="auto"/>
                <w:w w:val="92"/>
              </w:rPr>
              <w:t>Fair Value Measurements at June 30, 2017</w:t>
            </w: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Level I</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Level II</w:t>
            </w: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79,749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Restricted cash</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6,299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6,299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from affiliates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Term Loan B facility, net</w:t>
            </w:r>
            <w:r>
              <w:rPr>
                <w:rFonts w:ascii="Arial" w:cs="Arial" w:eastAsia="Arial" w:hAnsi="Arial"/>
                <w:sz w:val="15"/>
                <w:szCs w:val="15"/>
                <w:color w:val="auto"/>
              </w:rPr>
              <w:t>(1)</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(399,438)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(399,438)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w:t>
            </w:r>
            <w:r>
              <w:rPr>
                <w:rFonts w:ascii="Arial" w:cs="Arial" w:eastAsia="Arial" w:hAnsi="Arial"/>
                <w:sz w:val="15"/>
                <w:szCs w:val="15"/>
                <w:color w:val="auto"/>
              </w:rPr>
              <w:t>(1)</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(94,375)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Notes receivable</w:t>
            </w:r>
            <w:r>
              <w:rPr>
                <w:rFonts w:ascii="Arial" w:cs="Arial" w:eastAsia="Arial" w:hAnsi="Arial"/>
                <w:sz w:val="15"/>
                <w:szCs w:val="15"/>
                <w:color w:val="auto"/>
              </w:rPr>
              <w:t>(2)</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22,849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 long-term</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4,123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4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11"/>
          </w:tcPr>
          <w:p>
            <w:pPr>
              <w:jc w:val="center"/>
              <w:ind w:left="174"/>
              <w:spacing w:after="0"/>
              <w:rPr>
                <w:sz w:val="20"/>
                <w:szCs w:val="20"/>
                <w:color w:val="auto"/>
              </w:rPr>
            </w:pPr>
            <w:r>
              <w:rPr>
                <w:rFonts w:ascii="Arial" w:cs="Arial" w:eastAsia="Arial" w:hAnsi="Arial"/>
                <w:sz w:val="14"/>
                <w:szCs w:val="14"/>
                <w:b w:val="1"/>
                <w:bCs w:val="1"/>
                <w:color w:val="auto"/>
                <w:w w:val="92"/>
              </w:rPr>
              <w:t>Fair Value Measurements at December 31, 2016</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Level I</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Level II</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17,360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Restricted cash</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7,728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7,728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 from affiliates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Amounts due to related parties, long-term</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11,105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11,105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Term Loan B facility, net</w:t>
            </w:r>
            <w:r>
              <w:rPr>
                <w:rFonts w:ascii="Arial" w:cs="Arial" w:eastAsia="Arial" w:hAnsi="Arial"/>
                <w:sz w:val="15"/>
                <w:szCs w:val="15"/>
                <w:color w:val="auto"/>
              </w:rPr>
              <w:t>(1)</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(360,700)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(360,700)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long-term debt, net</w:t>
            </w:r>
            <w:r>
              <w:rPr>
                <w:rFonts w:ascii="Arial" w:cs="Arial" w:eastAsia="Arial" w:hAnsi="Arial"/>
                <w:sz w:val="15"/>
                <w:szCs w:val="15"/>
                <w:color w:val="auto"/>
              </w:rPr>
              <w:t>(1)</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(141,805)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(141,805)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r>
              <w:rPr>
                <w:rFonts w:ascii="Arial" w:cs="Arial" w:eastAsia="Arial" w:hAnsi="Arial"/>
                <w:sz w:val="15"/>
                <w:szCs w:val="15"/>
                <w:color w:val="auto"/>
              </w:rPr>
              <w:t>(2)</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2600" w:type="dxa"/>
            <w:vAlign w:val="bottom"/>
            <w:gridSpan w:val="2"/>
          </w:tcPr>
          <w:p>
            <w:pPr>
              <w:jc w:val="right"/>
              <w:ind w:right="1250"/>
              <w:spacing w:after="0"/>
              <w:rPr>
                <w:sz w:val="20"/>
                <w:szCs w:val="20"/>
                <w:color w:val="auto"/>
              </w:rPr>
            </w:pPr>
            <w:r>
              <w:rPr>
                <w:rFonts w:ascii="Arial" w:cs="Arial" w:eastAsia="Arial" w:hAnsi="Arial"/>
                <w:sz w:val="18"/>
                <w:szCs w:val="18"/>
                <w:color w:val="auto"/>
              </w:rPr>
              <w:t>F-16</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estimated fair value of our financial instruments that are measured at fair value on a non-recurring basis, categorized based upon the fair value hierarchy, are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10"/>
          </w:tcPr>
          <w:p>
            <w:pPr>
              <w:ind w:left="340"/>
              <w:spacing w:after="0"/>
              <w:rPr>
                <w:sz w:val="20"/>
                <w:szCs w:val="20"/>
                <w:color w:val="auto"/>
              </w:rPr>
            </w:pPr>
            <w:r>
              <w:rPr>
                <w:rFonts w:ascii="Arial" w:cs="Arial" w:eastAsia="Arial" w:hAnsi="Arial"/>
                <w:sz w:val="14"/>
                <w:szCs w:val="14"/>
                <w:b w:val="1"/>
                <w:bCs w:val="1"/>
                <w:color w:val="auto"/>
                <w:w w:val="94"/>
              </w:rPr>
              <w:t>Fair Value Measurements at December 31, 2016</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I</w:t>
            </w:r>
          </w:p>
        </w:tc>
        <w:tc>
          <w:tcPr>
            <w:tcW w:w="10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Level II</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III</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 net (for Navios Apollon)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Vessel held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125,000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125,000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460" w:hanging="452"/>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 of the Company’s debt is estimated based on currently available debt with similar contract terms, interest rate and remaining maturities as well as taking into account our creditworthiness.</w:t>
      </w:r>
    </w:p>
    <w:p>
      <w:pPr>
        <w:spacing w:after="0" w:line="1" w:lineRule="exact"/>
        <w:rPr>
          <w:rFonts w:ascii="Arial" w:cs="Arial" w:eastAsia="Arial" w:hAnsi="Arial"/>
          <w:sz w:val="18"/>
          <w:szCs w:val="18"/>
          <w:color w:val="auto"/>
        </w:rPr>
      </w:pPr>
    </w:p>
    <w:p>
      <w:pPr>
        <w:ind w:left="460" w:right="5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value is estimated based on currently available information on the Company’s counterparty with similar contract terms, interest rate and remaining maturities.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ISSUANCE OF UNITS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20, 2017, Navios Partners completed its public offering of 47,795,000 common units at $2.10 per unit and raised gross proceeds of approximately $100,369. The net proceeds of this offering, including the underwriting discount and excluding offering costs of $4,383, were approximately $95,986. Pursuant to this offering, Navios Partners issued 975,408 general partnership units to its general partner. The net proceeds from the issuance of the general partnership units were $2,049.</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17, 2017, Navios Holdings transferred to Navios Partners it rights to the fixed 12.7% interest on the Navios Europe Inc. Term loan and working capital loans (including the respective accrued receivable interest) for a total amount of $33,473 for a cash consideration of $4,050 and 13,076,923 newly issued common units of Navios Partners, with fair value net of costs at date of issuance of $28,862 (see Note 12). Pursuant to this transaction, Navios Partners issued 266,876 general partnership units to its general partner for net cash proceeds of $468.</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December 2016, Navios Partners granted restricted common units to its directors and/or officers which are based on service conditions only and vest over three years. The fair value of restricted units is determined by reference to the quoted stock price on the date of grant. Compensation expense, net of estimated forfeitures, is recognized based on a graded expense model over the vesting period. Compensation expense for the awards that vest upon achievement of the performance criteria is recognized when it is probable that the performance criteria will be met and are being accounted for as equity. On March 31, 2017, Navios Partners authorized and issued 2,040,000 common units to certain of the Company’s directors and/or officers and 41,633 general partner units issued to its general partner for net proceeds of $63. The effect of compensation expense arising from the restricted units described above amounted to $933 as of June 30, 2017 and is reflected in general and administrative expenses on the condensed consolidated statements of operations. There were no restricted common units exercised, forfeited or expired during the three and six month periods ended June 30, 2017 and the year ended December 31, 2016. As of June 30, 2017 and December 31, 2016, there is no compensating cost relating to service conditions of non-vested stock options which is not yet recognized. Restricted common units outstanding and not vested amounted to 2,040,000 units as of June 30, 2017.</w:t>
      </w:r>
    </w:p>
    <w:p>
      <w:pPr>
        <w:spacing w:after="0" w:line="16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As of June 30, 2017, the estimated compensation cost relating to service conditions of non-vested restricted common units not yet recognized was $2,054 and is expected to be recognized over the weighted average period of 2.45 years.</w:t>
      </w:r>
    </w:p>
    <w:p>
      <w:pPr>
        <w:spacing w:after="0" w:line="17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On November 18, 2016, Navios Partners entered into a Continuous Offering Program Sales Agreement, pursuant to which Navios Partners may issue and sell from time to time through its agent common units representing limited partner interests having an aggregate offering price of up to $25,000. During the three and six month periods ended June 30, 2017, Navios Partners issued 1,200,442 common units and received net proceeds of $2,221. Pursuant to the issuance of the common units, Navios Partners issued 24,498 general partnership units to its general partner in order to maintain its 2.0% general partner interest. The net proceeds from the issuance of the general partnership units were $46.</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June 8, 2017, Navios Containers closed its private placement and issued 10,057,645 shares for $50,288 of gross proceeds at a subscription price of $5.00 per share. Navios Partners invested $30,000 and received 59.7% of the equity, and Navios Holdings invested $5,000 and received 9.9% of the equity of Navios Containers. Each of Navios Partners and Navios Holdings also received warrants, with a five-year term, for 6.8% and 1.7% of the equity, respectively. As of June 30, 2017, noncontrolling interest of $17,678 was recorded in connection with the consolidation of this subsidiary.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Navios Holdings currently owns a 20.9% interest in Navios Partners, which includes the 2.0% interest through Navios Partners’ general partner which Navios Holdings owns and controls.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currently has two reportable segments from which it derives its revenues: Navios Partners Operations and Navios Containers Operations. The reportable segments reflect the internal organization of the Company whereby the Chief Operating Decision Maker (“CODM”) reviews the discrete financial information of the Navios Partners’ controlled fleet and the Navios Containers’ controlled fleet.</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measures segment performance based on net (loss)/income attributable to Navios Partners common unitholders. Summarized financial information concerning each of the Company’s reportable segments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3"/>
              </w:rPr>
              <w:t>Navios Partners Operations</w:t>
            </w: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Navios Containers Operations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740"/>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0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Three Month</w:t>
            </w:r>
          </w:p>
        </w:tc>
        <w:tc>
          <w:tcPr>
            <w:tcW w:w="94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Three Month</w:t>
            </w:r>
          </w:p>
        </w:tc>
        <w:tc>
          <w:tcPr>
            <w:tcW w:w="260" w:type="dxa"/>
            <w:vAlign w:val="bottom"/>
          </w:tcPr>
          <w:p>
            <w:pPr>
              <w:spacing w:after="0"/>
              <w:rPr>
                <w:sz w:val="10"/>
                <w:szCs w:val="10"/>
                <w:color w:val="auto"/>
              </w:rPr>
            </w:pPr>
          </w:p>
        </w:tc>
        <w:tc>
          <w:tcPr>
            <w:tcW w:w="10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Three Month</w:t>
            </w:r>
          </w:p>
        </w:tc>
        <w:tc>
          <w:tcPr>
            <w:tcW w:w="980" w:type="dxa"/>
            <w:vAlign w:val="bottom"/>
            <w:tcBorders>
              <w:top w:val="single" w:sz="8" w:color="auto"/>
            </w:tcBorders>
            <w:gridSpan w:val="2"/>
          </w:tcPr>
          <w:p>
            <w:pPr>
              <w:jc w:val="center"/>
              <w:ind w:left="4"/>
              <w:spacing w:after="0" w:line="119" w:lineRule="exact"/>
              <w:rPr>
                <w:sz w:val="20"/>
                <w:szCs w:val="20"/>
                <w:color w:val="auto"/>
              </w:rPr>
            </w:pPr>
            <w:r>
              <w:rPr>
                <w:rFonts w:ascii="Arial" w:cs="Arial" w:eastAsia="Arial" w:hAnsi="Arial"/>
                <w:sz w:val="13"/>
                <w:szCs w:val="13"/>
                <w:b w:val="1"/>
                <w:bCs w:val="1"/>
                <w:color w:val="auto"/>
              </w:rPr>
              <w:t>Three Month</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Three Month</w:t>
            </w:r>
          </w:p>
        </w:tc>
        <w:tc>
          <w:tcPr>
            <w:tcW w:w="96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Three Month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2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Period Ended</w:t>
            </w: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980" w:type="dxa"/>
            <w:vAlign w:val="bottom"/>
            <w:gridSpan w:val="2"/>
          </w:tcPr>
          <w:p>
            <w:pPr>
              <w:jc w:val="center"/>
              <w:ind w:left="24"/>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0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Period Ended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9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7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June 30,</w:t>
            </w:r>
          </w:p>
        </w:tc>
        <w:tc>
          <w:tcPr>
            <w:tcW w:w="11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4"/>
                <w:szCs w:val="14"/>
                <w:color w:val="auto"/>
              </w:rPr>
            </w:pPr>
          </w:p>
        </w:tc>
        <w:tc>
          <w:tcPr>
            <w:tcW w:w="78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2016</w:t>
            </w: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76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46,916</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44,877</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3,102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50,018</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Management fees</w:t>
            </w:r>
          </w:p>
        </w:tc>
        <w:tc>
          <w:tcPr>
            <w:tcW w:w="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(14,760)</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(14,719)</w:t>
            </w:r>
          </w:p>
        </w:tc>
        <w:tc>
          <w:tcPr>
            <w:tcW w:w="10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(702)</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(15,462)</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(14,719)</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and finance cost, net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(8,138)</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(8,369)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(8,145)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(8,369)</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(17,360)</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(18,809)</w:t>
            </w:r>
          </w:p>
        </w:tc>
        <w:tc>
          <w:tcPr>
            <w:tcW w:w="10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(1,320)</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(18,680)</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(18,809)</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7,987</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(16,807)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881</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4,445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(16,807)</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Total assets</w:t>
            </w: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1,275,942</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1,288,362</w:t>
            </w:r>
          </w:p>
        </w:tc>
        <w:tc>
          <w:tcPr>
            <w:tcW w:w="10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97,333</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(45,723)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1,327,552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1,288,362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(95,247)</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(44,567)</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(109,814)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Investment in affiliates</w:t>
            </w: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31,192</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7"/>
                <w:szCs w:val="17"/>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1,192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44,813</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25,327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34,936</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79,749</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6,299</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7"/>
                <w:szCs w:val="17"/>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6,299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(including current and non-current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portion),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441,347</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555,007</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33,670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475,017</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3"/>
              </w:rPr>
              <w:t>Navios Partners Operations</w:t>
            </w: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Navios Containers Operations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740"/>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61"/>
              <w:spacing w:after="0" w:line="119" w:lineRule="exact"/>
              <w:rPr>
                <w:sz w:val="20"/>
                <w:szCs w:val="20"/>
                <w:color w:val="auto"/>
              </w:rPr>
            </w:pPr>
            <w:r>
              <w:rPr>
                <w:rFonts w:ascii="Arial" w:cs="Arial" w:eastAsia="Arial" w:hAnsi="Arial"/>
                <w:sz w:val="13"/>
                <w:szCs w:val="13"/>
                <w:b w:val="1"/>
                <w:bCs w:val="1"/>
                <w:color w:val="auto"/>
              </w:rPr>
              <w:t>Six Month</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rPr>
              <w:t>Six Month</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81"/>
              <w:spacing w:after="0" w:line="119" w:lineRule="exact"/>
              <w:rPr>
                <w:sz w:val="20"/>
                <w:szCs w:val="20"/>
                <w:color w:val="auto"/>
              </w:rPr>
            </w:pPr>
            <w:r>
              <w:rPr>
                <w:rFonts w:ascii="Arial" w:cs="Arial" w:eastAsia="Arial" w:hAnsi="Arial"/>
                <w:sz w:val="13"/>
                <w:szCs w:val="13"/>
                <w:b w:val="1"/>
                <w:bCs w:val="1"/>
                <w:color w:val="auto"/>
              </w:rPr>
              <w:t>Six Month</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rPr>
              <w:t>Six Month</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61"/>
              <w:spacing w:after="0" w:line="119" w:lineRule="exact"/>
              <w:rPr>
                <w:sz w:val="20"/>
                <w:szCs w:val="20"/>
                <w:color w:val="auto"/>
              </w:rPr>
            </w:pPr>
            <w:r>
              <w:rPr>
                <w:rFonts w:ascii="Arial" w:cs="Arial" w:eastAsia="Arial" w:hAnsi="Arial"/>
                <w:sz w:val="13"/>
                <w:szCs w:val="13"/>
                <w:b w:val="1"/>
                <w:bCs w:val="1"/>
                <w:color w:val="auto"/>
              </w:rPr>
              <w:t>Six Month</w:t>
            </w: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
              <w:spacing w:after="0" w:line="119" w:lineRule="exact"/>
              <w:rPr>
                <w:sz w:val="20"/>
                <w:szCs w:val="20"/>
                <w:color w:val="auto"/>
              </w:rPr>
            </w:pPr>
            <w:r>
              <w:rPr>
                <w:rFonts w:ascii="Arial" w:cs="Arial" w:eastAsia="Arial" w:hAnsi="Arial"/>
                <w:sz w:val="13"/>
                <w:szCs w:val="13"/>
                <w:b w:val="1"/>
                <w:bCs w:val="1"/>
                <w:color w:val="auto"/>
              </w:rPr>
              <w:t>Six Month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2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Period Ended</w:t>
            </w: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980" w:type="dxa"/>
            <w:vAlign w:val="bottom"/>
            <w:gridSpan w:val="2"/>
          </w:tcPr>
          <w:p>
            <w:pPr>
              <w:jc w:val="center"/>
              <w:ind w:left="24"/>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0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Period Ended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9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7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June 30,</w:t>
            </w:r>
          </w:p>
        </w:tc>
        <w:tc>
          <w:tcPr>
            <w:tcW w:w="11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4"/>
                <w:szCs w:val="14"/>
                <w:color w:val="auto"/>
              </w:rPr>
            </w:pPr>
          </w:p>
        </w:tc>
        <w:tc>
          <w:tcPr>
            <w:tcW w:w="78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2016</w:t>
            </w: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76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89,327</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90,518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3,102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94,429</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Management fees</w:t>
            </w:r>
          </w:p>
        </w:tc>
        <w:tc>
          <w:tcPr>
            <w:tcW w:w="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(29,103)</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(29,439)</w:t>
            </w:r>
          </w:p>
        </w:tc>
        <w:tc>
          <w:tcPr>
            <w:tcW w:w="10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(702)</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(29,805)</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(29,439)</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and finance cost, net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(18,493)</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(16,033)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(18,500)</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(16,033)</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(34,135)</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(37,614)</w:t>
            </w:r>
          </w:p>
        </w:tc>
        <w:tc>
          <w:tcPr>
            <w:tcW w:w="10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(1,320)</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(35,455)</w:t>
            </w: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(37,614)</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2,334</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(16,598)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881</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(1,208)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(16,598)</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Total assets</w:t>
            </w: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1,275,942</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1,288,362</w:t>
            </w:r>
          </w:p>
        </w:tc>
        <w:tc>
          <w:tcPr>
            <w:tcW w:w="10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97,333</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(45,723)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1,327,552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1,288,362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2,798</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(44,567)</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(11,769)</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Investment in affiliates</w:t>
            </w: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31,192</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7"/>
                <w:szCs w:val="17"/>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1,192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44,813</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25,327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34,936</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79,749</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6,299</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7"/>
                <w:szCs w:val="17"/>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6,299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(including current and non-current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portion), net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441,347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555,007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33,670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475,017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Navios Partners reports financial information and evaluates its operations by charter revenues. Navios Partners does not use discrete financial information to evaluate operating results for each type of charter or by sector. As a result, management reviews operating results solely by revenue per day and operating results of the fleet and thus Navios Partners has determined that it operates under one reportable segment.</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following table sets out operating revenue by geographic region for Navios Partners’ reportable segment. Revenue is allocated on the basis of the geographic region in which the customer is located. Drybulk and container vessels operate worldwide. Revenues from specific geographic region which contribute over 10% of total revenue are disclosed separately.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Geographic Region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Vessels operate on a worldwide basis and are not restricted to specific locations. Accordingly, it is not possible to allocate the assets of these operations to specific countries.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w:t>
            </w:r>
          </w:p>
        </w:tc>
        <w:tc>
          <w:tcPr>
            <w:tcW w:w="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Six Month</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Six Month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ended</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Period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w:t>
            </w:r>
          </w:p>
        </w:tc>
        <w:tc>
          <w:tcPr>
            <w:tcW w:w="2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30,250</w:t>
            </w: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Europe</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10,217</w:t>
            </w:r>
          </w:p>
        </w:tc>
        <w:tc>
          <w:tcPr>
            <w:tcW w:w="2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9,561</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19,683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3,173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Australia</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4,390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8,045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gridSpan w:val="2"/>
            <w:shd w:val="clear" w:color="auto" w:fill="CCEEFF"/>
          </w:tcPr>
          <w:p>
            <w:pPr>
              <w:ind w:left="2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50,018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44,877</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92,429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Marshall Islands, Malta and Liberia do not impose a tax on international shipping income. Under the laws of Marshall Islands, Malta and Liberia, the countries of the vessel-owning subsidiaries’ incorporation and vessels’ registration, the vessel-owning subsidiaries are subject to registration and tonnage taxes which have been included in vessel operating expenses in the accompanying consolidated statements of operations.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80"/>
          </w:cols>
          <w:pgMar w:left="24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the currently applicable Greek law, foreign flagged vessels that are managed by Greek or foreign ship management companies having established an office in Greece are subject to duties towards the Greek state which are calculated on the basis of the relevant vessel’s tonnage. The payment of said duties exhausts the tax liability of the foreign ship owning company and the relevant manager against any tax, duty, charge or contribution payable on income from the exploitation of the foreign flagged vessel.</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Section 883 of the Internal Revenue Code of the United States, U.S. source income from the international operation of ships is generally exempt from U.S. income tax if the company operating the ships meets certain incorporation and ownership requirements. Among other things, in order to qualify for this exemption, the company operating the ships must be incorporated in a country which grants an equivalent exemption from income taxes to U.S. corporations. All the vessel-owning subsidiaries satisfy these initial criteria.</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these companies must meet an ownership test. The management of Navios Partners believes that this ownership test was satisfied prior to the IPO by virtue of a special rule applicable to situations where the ship operating companies are beneficially owned by a publicly traded company. Although not free from doubt, management also believes that the ownership test will be satisfied based on the trading volume and ownership of Navios Partners’ units, but no assurance can be given that this will remain so in the future.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Navios Partners is involved in various disputes and arbitration proceedings arising in the ordinary course of business. Provisions have been recognized in the financial statements for all such proceedings where Navios Partners believes that a liability may be probable, and for which the amounts are reasonably estimable, based upon facts known at the date the financial statements were prepared. Management believes the ultimate disposition of these matters will be immaterial individually and in the aggregate to Navios Partners’ financial position, results of operations or liquidity.</w:t>
      </w:r>
    </w:p>
    <w:p>
      <w:pPr>
        <w:spacing w:after="0" w:line="171"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In July 2017, Navios Partners agreed to acquire from a related party one 2009 Tsuneishi Zhoushan-built Handymax vessel of approximately 58,058 dwt, for a total purchase price of $13,750. The vessel is expected to be delivered to Navios Partners’ owned fleet in the third quarter of 2017.</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May 2017, Navios Partners agreed to acquire one 2009 Japanese-built Capesize vessel of 180,274 dwt, for a purchase price of $28,300. The vessel is expected to be delivered to Navios Partners’ owned fleet in the third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April 2017, Navios Partners agreed to acquire one 2007 South Korean-built Panamax vessels of approximately 75,511 dwt for a purchase price of $13,500.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vessels is expected to be delivered to Navios Partners’ owned fleet in the third quarter of 2017.</w:t>
      </w:r>
    </w:p>
    <w:p>
      <w:pPr>
        <w:spacing w:after="0" w:line="21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April 2017, Navios Partners agreed to acquire one 2010-built Capesize vessel of 178,132 dwt, for a purchase price of $27,500. The vessel is expected to be delivered to Navios Partners’ owned fleet in the third quarter of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TRANSACTIONS WITH RELATED PARTIES AND AFFILIATES</w:t>
      </w:r>
    </w:p>
    <w:p>
      <w:pPr>
        <w:spacing w:after="0" w:line="11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The Navios Holdings Credit facility: </w:t>
      </w:r>
      <w:r>
        <w:rPr>
          <w:rFonts w:ascii="Arial" w:cs="Arial" w:eastAsia="Arial" w:hAnsi="Arial"/>
          <w:sz w:val="18"/>
          <w:szCs w:val="18"/>
          <w:color w:val="auto"/>
        </w:rPr>
        <w:t>In May 2015, Navios Partners entered into the Navios Holdings Credit Facility of up to $60,000. The Navios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Facility had a margin of LIBOR plus 300 bps. The final maturity date was January 2, 2017. As of June 30, 2017 and December 31, 2016, there was no outstanding amount under this facility (See Note 6).</w:t>
      </w:r>
    </w:p>
    <w:p>
      <w:pPr>
        <w:spacing w:after="0" w:line="13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 xml:space="preserve">Management fees: </w:t>
      </w:r>
      <w:r>
        <w:rPr>
          <w:rFonts w:ascii="Arial" w:cs="Arial" w:eastAsia="Arial" w:hAnsi="Arial"/>
          <w:sz w:val="16"/>
          <w:szCs w:val="16"/>
          <w:color w:val="auto"/>
        </w:rPr>
        <w:t>Pursuant to the amended Management Agreement, in each of October 2013, August 2014 and February 2015, the Manager, a wholly</w:t>
      </w:r>
      <w:r>
        <w:rPr>
          <w:rFonts w:ascii="Arial" w:cs="Arial" w:eastAsia="Arial" w:hAnsi="Arial"/>
          <w:sz w:val="16"/>
          <w:szCs w:val="16"/>
          <w:b w:val="1"/>
          <w:bCs w:val="1"/>
          <w:color w:val="auto"/>
        </w:rPr>
        <w:t xml:space="preserve"> </w:t>
      </w:r>
      <w:r>
        <w:rPr>
          <w:rFonts w:ascii="Arial" w:cs="Arial" w:eastAsia="Arial" w:hAnsi="Arial"/>
          <w:sz w:val="16"/>
          <w:szCs w:val="16"/>
          <w:color w:val="auto"/>
        </w:rPr>
        <w:t>owned subsidiary of Navios Holdings, provides commercial and technical management services to Navios Partners’ vessels for a daily fee of: (a) $4.0 daily rate per Ultra-Handymax vessel; (b) $4.10 daily rate per Panamax vessel; (c) $5.10 daily rate per Capesize vessel; (d) $6.50 daily rate per Container vessel of TEU 6,800; (e) $7.20 daily rate per Container vessel of more than TEU 8,000; and (f) $8.50 daily rate per very large Container vessel of more than TEU 13,000 through December 31, 2015. In February 2016, Navios Partners further amended its existing Management Agreement with the Manager to fix the fees for ship management services of its owned fleet at: (a) $4.10 daily rate per Ultra-Handymax vessel; (b) $4.20 daily rate per Panamax vessel; (c) $5.25 daily rate per Capesize vessel; (d) $6.70 daily rate per Container vessel of TEU 6,800; (e) $7.40 daily rate per Container vessel of more than TEU 8,000; and</w:t>
      </w:r>
    </w:p>
    <w:p>
      <w:pPr>
        <w:spacing w:after="0" w:line="2" w:lineRule="exact"/>
        <w:rPr>
          <w:sz w:val="20"/>
          <w:szCs w:val="20"/>
          <w:color w:val="auto"/>
        </w:rPr>
      </w:pPr>
    </w:p>
    <w:p>
      <w:pPr>
        <w:ind w:right="260" w:firstLine="8"/>
        <w:spacing w:after="0" w:line="295" w:lineRule="auto"/>
        <w:tabs>
          <w:tab w:leader="none" w:pos="2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$8.75 daily rate per very large Container vessel of more than TEU 13,000 through December 31, 2017. Drydocking expenses under this agreement are reimbursed by Navios Partners at cost at occurrence. Effective August 31, 2016, Navios Partners could, upon request to Navios Holdings, partially or fully defer the reimbursement of dry docking and other extraordinary fees and expenses under the Management Agreement to a later date, but not later than January 5, 2018, and if reimbursed on a later date, such amounts would bear interest at a rate of 1% per annum over LIBOR.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Containers</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Management fees</w:t>
      </w:r>
      <w:r>
        <w:rPr>
          <w:rFonts w:ascii="Arial" w:cs="Arial" w:eastAsia="Arial" w:hAnsi="Arial"/>
          <w:sz w:val="16"/>
          <w:szCs w:val="16"/>
          <w:color w:val="auto"/>
        </w:rPr>
        <w:t>: Pursuant to a management agreement dated June 7, 2017, the Navios Shipmanagement Inc. (the “Manager”), a wholly-owned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Navios Holdings, provides commercial and technical management services to Navios Containers’ vessels. The term of this agreement is for an initial period of five years with an automatic extension for successive one year periods thereafter unless a notice for termination is received by either party. The fee for the ship management services provided by the Manager is a daily fee of US $6.1 per day for 4,250 TEU and 3,450 TEU container vessels, payable on the last day of each month. Drydocking expenses under this agreement are reimbursed by Navios Containers at cost at occurrence.</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management fees for the three and six months ended June 30, 2017 amounted to $15,462 and $29,805, respectively. Total management fees for the three and six months ended June 30, 2016 amounted to $14,719 and $29,439,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991"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3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Pursuant to the Administrative Services Agreement, the Manager also provides administrative services to Navios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include bookkeeping, audit and accounting services, legal and insurance services, administrative and clerical services, banking and financial services, advisory services, client and investor relations and other. The Manager is reimbursed for reasonable costs and expenses incurred in connection with the provision of these services. Navios Partners extended the duration of its existing Administrative Services Agreement with the Manager, until December 31,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Containers</w:t>
      </w:r>
    </w:p>
    <w:p>
      <w:pPr>
        <w:spacing w:after="0" w:line="113"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 xml:space="preserve">General &amp; administrative expenses: </w:t>
      </w:r>
      <w:r>
        <w:rPr>
          <w:rFonts w:ascii="Arial" w:cs="Arial" w:eastAsia="Arial" w:hAnsi="Arial"/>
          <w:sz w:val="17"/>
          <w:szCs w:val="17"/>
          <w:color w:val="auto"/>
        </w:rPr>
        <w:t>Pursuant to the Administrative Services Agreement dated June 7, 2017, the Manager also provides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Navios Containers, which include bookkeeping, audit and accounting services, legal and insurance services, administrative and clerical services, banking and financial services, advisory services, client and investor relations and other The Manager is reimbursed for reasonable costs and expenses incurred in connection with the provision of these services. . The term of this agreement is for an initial period of five years with an automatic extension for successive one year periods thereafter unless a notice for termination is received by either party.</w:t>
      </w:r>
    </w:p>
    <w:p>
      <w:pPr>
        <w:spacing w:after="0" w:line="17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Total general and administrative expenses charged by Navios Holdings for the three and six month periods ended June 30, 2017 amounted to $1,999 and $3,944, respectively. Total general and administrative expenses charged by Navios Holdings for the three and six month periods ended June 30, 2016 amounted to $1,938 and $3,875, respectively.</w:t>
      </w:r>
    </w:p>
    <w:p>
      <w:pPr>
        <w:spacing w:after="0" w:line="1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Balance due from related parties (excluding Navios Europe I and Navios Europe II): </w:t>
      </w:r>
      <w:r>
        <w:rPr>
          <w:rFonts w:ascii="Arial" w:cs="Arial" w:eastAsia="Arial" w:hAnsi="Arial"/>
          <w:sz w:val="18"/>
          <w:szCs w:val="18"/>
          <w:color w:val="auto"/>
        </w:rPr>
        <w:t>Balance due from related parties as of June 30, 2017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amounted to $41,034 and $19,040, respectively, of which current receivable from Navios Holdings and its subsidiaries was $31,944 and the long-term receivable was $9,090. The balances mainly consisted of management and administrative fees in accordance with the Management and Administrative services agreements and other receivables.</w:t>
      </w:r>
    </w:p>
    <w:p>
      <w:pPr>
        <w:spacing w:after="0" w:line="18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Balance due to related parties: </w:t>
      </w:r>
      <w:r>
        <w:rPr>
          <w:rFonts w:ascii="Arial" w:cs="Arial" w:eastAsia="Arial" w:hAnsi="Arial"/>
          <w:sz w:val="18"/>
          <w:szCs w:val="18"/>
          <w:color w:val="auto"/>
        </w:rPr>
        <w:t>Balance due to related parties as of June 30, 2017 and December 31, 2016, was $0 and $11,105, respectively, which relate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non-current amount payable to Navios Holdings and its subsidiaries for drydock and special survey expenses.</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Vessel Chartering: </w:t>
      </w:r>
      <w:r>
        <w:rPr>
          <w:rFonts w:ascii="Arial" w:cs="Arial" w:eastAsia="Arial" w:hAnsi="Arial"/>
          <w:sz w:val="18"/>
          <w:szCs w:val="18"/>
          <w:color w:val="auto"/>
        </w:rPr>
        <w:t>In 2012 and 2013, Navios Partners entered into various charters with a subsidiary of Navios Holdings for the Navios Apollon, the Navios</w:t>
      </w:r>
      <w:r>
        <w:rPr>
          <w:rFonts w:ascii="Arial" w:cs="Arial" w:eastAsia="Arial" w:hAnsi="Arial"/>
          <w:sz w:val="18"/>
          <w:szCs w:val="18"/>
          <w:b w:val="1"/>
          <w:bCs w:val="1"/>
          <w:color w:val="auto"/>
        </w:rPr>
        <w:t xml:space="preserve"> </w:t>
      </w:r>
      <w:r>
        <w:rPr>
          <w:rFonts w:ascii="Arial" w:cs="Arial" w:eastAsia="Arial" w:hAnsi="Arial"/>
          <w:sz w:val="18"/>
          <w:szCs w:val="18"/>
          <w:color w:val="auto"/>
        </w:rPr>
        <w:t>Libra, the Navios Felicity and the Navios Hope. In April 2015, these charters were further extended for approximately one year at a net daily rate of $12.5, $12.0, $12.0 and $10.0, respectively, plus 50/50 profit sharing based on actual earnings at the end of the period. The vessels were redelivered as of April 2016.</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2015, Navios Partners entered into various charters with a subsidiary of Navios Holdings for the Navios Gemini, the Navios Hyperion, the Navios Soleil, the Navios Harmony, the Navios Orbiter, the Navios Fantastiks, the Navios Alegria, the Navios Pollux and the Navios Sun. The terms of these charters were approximately nine to twelve months, at a net daily rate of $7.6, $12.0, $12.0, $12.0, $12.0, $12.5, $12.0, $11.4 and $12.0, respectively plus 50/50 profit sharing based on actual earnings at the end of the period. The vessels were redelivered as of April 2016.</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November 2016, Navios Partners entered into a charter with a subsidiary of Navios Holdings for the Navios Fulvia, a 2010-built Capesize vessel. The term of this charter is approximately three months that commenced in November 2016, at a net daily rate of $11.5. The vessel was redelivered as of February 2017.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Total revenue of Navios Partners from the subsidiaries of Navios Holdings for the three and six month periods ended June 30, 2017 amounted to $33 and</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$643, respectively. Total revenue of Navios Partners from the subsidiaries of Navios Holdings for the three and six months ended June 30, 2016 amounted to $(3,135) and $1,171, respectively.</w:t>
      </w:r>
    </w:p>
    <w:p>
      <w:pPr>
        <w:spacing w:after="0" w:line="180" w:lineRule="exact"/>
        <w:rPr>
          <w:sz w:val="20"/>
          <w:szCs w:val="20"/>
          <w:color w:val="auto"/>
        </w:rPr>
      </w:pPr>
    </w:p>
    <w:p>
      <w:pPr>
        <w:ind w:right="500"/>
        <w:spacing w:after="0" w:line="313" w:lineRule="auto"/>
        <w:rPr>
          <w:sz w:val="20"/>
          <w:szCs w:val="20"/>
          <w:color w:val="auto"/>
        </w:rPr>
      </w:pPr>
      <w:r>
        <w:rPr>
          <w:rFonts w:ascii="Arial" w:cs="Arial" w:eastAsia="Arial" w:hAnsi="Arial"/>
          <w:sz w:val="17"/>
          <w:szCs w:val="17"/>
          <w:b w:val="1"/>
          <w:bCs w:val="1"/>
          <w:color w:val="auto"/>
        </w:rPr>
        <w:t xml:space="preserve">Share Purchase Agreements: </w:t>
      </w:r>
      <w:r>
        <w:rPr>
          <w:rFonts w:ascii="Arial" w:cs="Arial" w:eastAsia="Arial" w:hAnsi="Arial"/>
          <w:sz w:val="17"/>
          <w:szCs w:val="17"/>
          <w:color w:val="auto"/>
        </w:rPr>
        <w:t>On February 4, 2015, Navios Partners entered into a share purchase agreement with Navios Holdings pursuant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Navios Holdings made an investment in Navios Partners by purchasing common units, and general partnership interests.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3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On February 4, 2015, in connection with the share purchase agreement as discussed above, Navios Partners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agreement with Navios Holdings pursuant to which Navios Partners provided Navios Holdings with certain rights relating to the registration of the common units.</w:t>
      </w:r>
    </w:p>
    <w:p>
      <w:pPr>
        <w:spacing w:after="0" w:line="17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color w:val="auto"/>
        </w:rPr>
        <w:t xml:space="preserve">Balance due from Navios Europe I: </w:t>
      </w:r>
      <w:r>
        <w:rPr>
          <w:rFonts w:ascii="Arial" w:cs="Arial" w:eastAsia="Arial" w:hAnsi="Arial"/>
          <w:sz w:val="16"/>
          <w:szCs w:val="16"/>
          <w:color w:val="auto"/>
        </w:rPr>
        <w:t>Navios Holdings, Navios Acquisition and Navios Partners have made available to Navios Europe I revolving loans up</w:t>
      </w:r>
      <w:r>
        <w:rPr>
          <w:rFonts w:ascii="Arial" w:cs="Arial" w:eastAsia="Arial" w:hAnsi="Arial"/>
          <w:sz w:val="16"/>
          <w:szCs w:val="16"/>
          <w:b w:val="1"/>
          <w:bCs w:val="1"/>
          <w:color w:val="auto"/>
        </w:rPr>
        <w:t xml:space="preserve"> </w:t>
      </w:r>
      <w:r>
        <w:rPr>
          <w:rFonts w:ascii="Arial" w:cs="Arial" w:eastAsia="Arial" w:hAnsi="Arial"/>
          <w:sz w:val="16"/>
          <w:szCs w:val="16"/>
          <w:color w:val="auto"/>
        </w:rPr>
        <w:t>to $24,100 to fund working capital requirements (collectively, the “Navios Revolving Loans I”). See Note 14 for the Investment in Navios Europe I and respective ownership interests. The Navios Revolving Loans I and the Navios Term Loans I earn interest and an annual preferred return, respectively, at</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12.7% per annum, on a quarterly compounding basis and are repaid from free cash flow (as defined in the loan agreement) to the fullest extent possible at the end of each quarter.</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June 30, 2017, Navios Partners’ portion of the outstanding amount relating to portion of the investment in Navios Europe I (5.0% of the $10,000) was $500, under the caption “Investment in affiliates” and the outstanding amount relating to the Navios Revolving Loans I capital was $1,050 (December 31, 2016: $750), under the caption “Loans receivable from affiliates”. The accrued interest income earned under the Navios Revolving Loans I was $389 (December 31, 2016: $310) under the caption “Balance due from related parties” and the accrued interest income earned under the Navios Term Loans I was $282 (December 31, 2016: $235) under the caption “Loans receivable from affiliates”. As of June 30, 2017, the amount undrawn from the Navios Revolving Loans I was $4,800.</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Balance due from Navios Europe II: </w:t>
      </w:r>
      <w:r>
        <w:rPr>
          <w:rFonts w:ascii="Arial" w:cs="Arial" w:eastAsia="Arial" w:hAnsi="Arial"/>
          <w:sz w:val="17"/>
          <w:szCs w:val="17"/>
          <w:color w:val="auto"/>
        </w:rPr>
        <w:t>Navios Holdings, Navios Acquisition and Navios Partners have made available to Navios Europe II revolving loans up</w:t>
      </w:r>
      <w:r>
        <w:rPr>
          <w:rFonts w:ascii="Arial" w:cs="Arial" w:eastAsia="Arial" w:hAnsi="Arial"/>
          <w:sz w:val="17"/>
          <w:szCs w:val="17"/>
          <w:b w:val="1"/>
          <w:bCs w:val="1"/>
          <w:color w:val="auto"/>
        </w:rPr>
        <w:t xml:space="preserve"> </w:t>
      </w:r>
      <w:r>
        <w:rPr>
          <w:rFonts w:ascii="Arial" w:cs="Arial" w:eastAsia="Arial" w:hAnsi="Arial"/>
          <w:sz w:val="17"/>
          <w:szCs w:val="17"/>
          <w:color w:val="auto"/>
        </w:rPr>
        <w:t>to $43,500 to fund working capital requirements (collectively, the “Navios Revolving Loans II”). In March 2017, the availability under the Navios Revolving Loans II was increased by $14,000. See Note 14 for the Investment in Navios Europe II and respective ownership interests. The Navios Revolving Loans II and the Navios Term Loans II earn interest and an annual preferred return, respectively, at 18% per annum, on a quarterly compounding basis and are repaid from free cash flow (as defined in the loan agreement) to the fullest extent possible at the end of each quarter.</w:t>
      </w:r>
    </w:p>
    <w:p>
      <w:pPr>
        <w:spacing w:after="0" w:line="1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2017, Navios Partners’ portion of the outstanding amount relating to portion of the investment in Navios Europe II (5.0% of the $14,000) was $700, under the caption “Investment in affiliates” and the outstanding amount relating to the Navios Revolving Loans II capital was $9,770 (December 31, 2016: $1,221), under the caption “Loans receivable from affiliates”. The accrued interest income earned under the Navios Revolving Loans II was $760 (December 31, 2016: $288) under the caption “Balance due from related parties” and the accrued interest income earned under the Navios Term Loans II was $301 (December 31, 2016: $216) under the caption “Loans receivable from affiliates”. As of June 30, 2017, the amount undrawn from the Navios Revolving Loans II was $15.005.</w:t>
      </w:r>
    </w:p>
    <w:p>
      <w:pPr>
        <w:spacing w:after="0" w:line="193"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receivable relating to the consideration settled with the issuance of 13,076,923 Navios Partners’ common units in the amount of $29,423 has been classified contra equity within the condensed consolidated Statements of Changes in Partners’ Capital as “Note receivable”.</w:t>
      </w:r>
    </w:p>
    <w:p>
      <w:pPr>
        <w:spacing w:after="0" w:line="14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Note receivable from affiliates: </w:t>
      </w:r>
      <w:r>
        <w:rPr>
          <w:rFonts w:ascii="Arial" w:cs="Arial" w:eastAsia="Arial" w:hAnsi="Arial"/>
          <w:sz w:val="17"/>
          <w:szCs w:val="17"/>
          <w:color w:val="auto"/>
        </w:rPr>
        <w:t>On March 17, 2017, Navios Holdings transferred to Navios Partners its rights to the fixed 12.7% interest on the Navios</w:t>
      </w:r>
      <w:r>
        <w:rPr>
          <w:rFonts w:ascii="Arial" w:cs="Arial" w:eastAsia="Arial" w:hAnsi="Arial"/>
          <w:sz w:val="17"/>
          <w:szCs w:val="17"/>
          <w:b w:val="1"/>
          <w:bCs w:val="1"/>
          <w:color w:val="auto"/>
        </w:rPr>
        <w:t xml:space="preserve"> </w:t>
      </w:r>
      <w:r>
        <w:rPr>
          <w:rFonts w:ascii="Arial" w:cs="Arial" w:eastAsia="Arial" w:hAnsi="Arial"/>
          <w:sz w:val="17"/>
          <w:szCs w:val="17"/>
          <w:color w:val="auto"/>
        </w:rPr>
        <w:t>Europe Inc. term loan and working capital loans (including the respective accrued receivable interest) in the amount of $33,473, which included a cash consideration of $4,050 and 13,076,923 newly issued common units of Navios Partners. At the date of this transaction, the Company recognized a receivable at the fair value of its newly issued common units totaling to $29,423 based on the closing price of $2.25 per unit as of March 16, 2017 given as consideration (see also Note 8). The receivable from Navios Holdings is payable on maturity in December 2023 and Navios Partners will receive approximately $50,937. Interest will accrue through maturity and will be recognized within “Interest income” for the receivable relating to the cash consideration of $4,050. As of June 30, 2017, the long-term note receivable from Navios Holdings amounted to $4,123 (including the non-cash interest income of $73) and was included within “Note receivable from affiliates”. Navios Partners may require Navios Holdings, under certain conditions, to repurchase the loans after the third anniversary of the date of the transaction based on the then outstanding balance of the loans.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Navios Partners has entered into an omnibus agreement with Navios Holdings (the “Partners Omnibus Agreement”) in connection with the closing of</w:t>
      </w:r>
      <w:r>
        <w:rPr>
          <w:rFonts w:ascii="Arial" w:cs="Arial" w:eastAsia="Arial" w:hAnsi="Arial"/>
          <w:sz w:val="18"/>
          <w:szCs w:val="18"/>
          <w:b w:val="1"/>
          <w:bCs w:val="1"/>
          <w:color w:val="auto"/>
        </w:rPr>
        <w:t xml:space="preserve"> </w:t>
      </w:r>
      <w:r>
        <w:rPr>
          <w:rFonts w:ascii="Arial" w:cs="Arial" w:eastAsia="Arial" w:hAnsi="Arial"/>
          <w:sz w:val="18"/>
          <w:szCs w:val="18"/>
          <w:color w:val="auto"/>
        </w:rPr>
        <w:t>Navios Partners’ IPO governing, among other things, when Navios Holdings and Navios Partners may compete against each other as well as rights of first offer on certain drybulk carriers. Pursuant to the Partners Omnibus Agreement, Navios Partners generally agreed not to acquire or own Panamax or Capesize drybulk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Navios Partners entered into an omnibus agreement with Navios Acquisition and Navios Holdings (the “Acquisition Omnibus Agreement”) in connection with the closing of Navios Acquisition’s initial vessel acquisition, pursuant to which, among other things, Navios Holdings and Navios Partners agreed not to acquire, charter-in or own liquid shipment vessels, except for container vessels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drybulk carriers subject to specific exceptions. Under the Acquisition Omnibus Agreement, Navios Acquisition and its subsidiaries granted to Navios Holdings and Navios Partners, a right of first offer on any proposed sale, transfer or other disposition of any of its drybulk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w:t>
      </w:r>
    </w:p>
    <w:p>
      <w:pPr>
        <w:spacing w:after="0" w:line="1" w:lineRule="exact"/>
        <w:rPr>
          <w:sz w:val="20"/>
          <w:szCs w:val="20"/>
          <w:color w:val="auto"/>
        </w:rPr>
      </w:pPr>
    </w:p>
    <w:p>
      <w:pPr>
        <w:ind w:right="780" w:firstLine="8"/>
        <w:spacing w:after="0" w:line="261"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Navios Maritime Midstream Partners L.P. (“Navios Midstream”) initial public offering and effective November 18, 2014, Navios Partners entered into an omnibus agreement with Navios Midstream, Navios Acquisition and Navios Holdings pursuant to which Navios Acquisition, Navios Holdings and Navios Partners have agreed not to acquire or own any VLCCs, crude oil tankers, refined petroleum product tankers, LPG tankers or chemical tankers under time charters of five or more years and also providing rights of first offer on certain tanker vessels.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15, 2012 (as amended in March 2014), Navios Holdings and Navios Partners entered into an agreement (the “Navios Holdings Guarantee”) by which Navios Holdings will provide supplemental credit default insurance with a maximum cash payment of $20,000. During each of the three and six month periods ended June 30, 2017, the Company submitted claims for charterers’ default under this agreement to Navios Holdings for a total amount in each period of $2,276 and $4,527, respectively, net of applicable deductions, of which $2,396 and $4,765 was recorded as “Other income”. During each of the three and six month period ended June 30, 2016, the Company submitted claims for charterers’ default under this agreement to Navios Holdings for a total amount of $2,276 and $4,552, net of applicable deductions, of which $2,396 and $4,791, respectively, was recorded as “Other income”.</w:t>
      </w:r>
    </w:p>
    <w:p>
      <w:pPr>
        <w:spacing w:after="0" w:line="165"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As of June 30, 2017, Navios Holdings held an 18.9% common unit interest in Navios Partners, represented by 28,421,233 common units and it also held a general partner interest of 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NOTES RECEIVABLE</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July 15, 2016, the Company entered into a charter restructuring agreement for the reduction of the hire rate for five Container vessels chartered out to Hyundai Merchant Marine Co. (“HMM”) which resulted in a decrease in cash charter hire to be received of approximately $38,461. More specifically, the reduction of the hire rate will be applied as follows:</w:t>
      </w:r>
    </w:p>
    <w:p>
      <w:pPr>
        <w:spacing w:after="0" w:line="8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 effect from (and including) July 18, 2016 until (and including) December 31, 2019, hire rate shall be reduced to $24,400 per day pro rata.</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effect from (and including) January 1, 2020, hire rate shall be restored to the rate of $30,500 per day pro rata until redelivery.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exchange for the reduction of the hire rate, the Company received (i) $7,692 on principal amount of senior, unsecured notes, amortizing subject to available cash flows, accruing interest at 3% per annum payable on maturity in July 2024 and (ii) 3,657 freely tradable securities of HMM (publicly traded at the Stock Market Division of the Korean Exchange).</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July 18, 2016, the Company recognized the fair value of the HMM securities totaling $40,277 and also recognized the fair value of the senior unsecured notes totaling $5,931. The total fair value of the non-cash compensation received was recognized as deferred revenue, which will be amortized over the remaining duration of the each time charter. As of June 30, 2017 and December 31, 2016, the outstanding balance of the notes receivable including accrued interest and discount unwinding, amounted to $6,314 and $6,112, respectively. For the three and six month periods ended June 30, 2017, the Company recorded an amount of $3,017 and $6,001, respectively, of deferred revenue amortization in the condensed consolidated Statement of Operations under line “Time charter and voyage revenues”.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June 30, 2017, the outstanding balances of the current and non-current portion of deferred revenue in relation to HMM amounted to $12,102 and $22,569, respectively.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August 2016, the Company sold all the shares for net proceeds on sale of $20,842 resulting in a loss on sale of $19,435, which was recorded under “Loss on sale of securities” in the consolidated Statements of Operations for the year ended December 31, 2016 and the proceeds were classified as investing activities in the consolidated Statements of Cash Flows for the year ended December 31, 2016. The Company recognized non-cash interest income and discount unwinding totaling to $102 and $203, respectively, for these instruments under “Interest income” in the condensed consolidated Statements of Operations for the three and six month periods ended June 30, 2017.</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12, 2017, the Company sold the vessel MSC Cristina (see Note 4) for a gross sale price of $126,000 and received a cash payment of $107,250 and a note receivable of $18,750 accruing interest at 6% per annum payable in 16 quarterly instalments. As of June 30, 2017, the outstanding balances of the current and non-current note receivable amounted to $4,687 and $11,719, respectively. For the three and six month periods ended June 30, 2017, the Company recorded an amount of $257 and $495, respectively, including accrued interest income of $129 under “Interest income” in the condensed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INVESTMENT IN NAVIOS EUROPE I AND NAVIOS EUROPE II</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Navios Europe I</w:t>
      </w:r>
      <w:r>
        <w:rPr>
          <w:rFonts w:ascii="Arial" w:cs="Arial" w:eastAsia="Arial" w:hAnsi="Arial"/>
          <w:sz w:val="17"/>
          <w:szCs w:val="17"/>
          <w:color w:val="auto"/>
        </w:rPr>
        <w:t>: On October 9, 2013, Navios Holdings, Navios Acquisition and Navios Partners established Navios Europe I and have ownership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of 47.5%, 47.5% and 5.0%, respectively. On December 18, 2013, Navios Europe I acquired ten vessels for aggregate consideration consisting of: (i) cash which was funded with the proceeds of senior loan facilities (the “Senior Loans I”) and loans aggregating $10,000 from Navios Holdings, Navios Acquisition and Navios Partners (collectively, the “Navios Term Loans I”) and (ii) the assumption of a junior participating loan facility (the “Junior Loan I”). In addition to the Navios Term Loans I, Navios Holdings, Navios Acquisition and Navios Partners will also make available to Navios Europe I revolving loans up to $24,100 to fund working capital requirements (collectively, the “Navios Revolving Loans I”).</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an ongoing basis, Navios Europe I is required to distribute cash flows (after payment of operating expenses and amounts due pursuant to the terms of the Senior Loans I and repayments of the Navios Revolving Loans I) according to a defined waterfall calculation. Navios Partners evaluated its investment in Navios Europe I under ASC 810 and concluded that Navios Europe I is a variable interest entity (“VIE”) and that they are not the party most closely associated with Navios Europe I and, accordingly, is not the primary beneficiary of Navios Europe I. Navios Partners further evaluated its investment in the common stock of Navios Europe I under ASC 323 and concluded that it has the ability to exercise significant influence over the operating and financial policies of Navios Europe I and, therefore, its investment in Navios Europe I is accounted for under the equity method.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2017 and December 31, 2016, the estimated maximum potential loss by Navios Partners in Navios Europe I would have been $1,689 and</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$1,390, respectively, excluding accrued interest which represents the Company’s carrying value of the investment of $639 (December 31, 2016: $640) plus the Company’s balance of the Navios Revolving Loans I of $1,050 (December 31, 2016: $750), excluding accrued interest, and does not include the undrawn portion of the Navios Revolving Loans I.</w:t>
      </w:r>
    </w:p>
    <w:p>
      <w:pPr>
        <w:spacing w:after="0" w:line="19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June 30, 2017, the Navios Partners’ portion of the Navios Revolving Loan I outstanding was $1,050. Investment loss of $(1) was recognized in the Statements of Operations under the caption of “Other income” for the six month periods ended June 30, 2017. Investment income of $27 was recognized in the Statements of Operations under the caption of “Other income” for the six month periods ended June 30, 2016.</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Navios Europe II</w:t>
      </w:r>
      <w:r>
        <w:rPr>
          <w:rFonts w:ascii="Arial" w:cs="Arial" w:eastAsia="Arial" w:hAnsi="Arial"/>
          <w:sz w:val="17"/>
          <w:szCs w:val="17"/>
          <w:color w:val="auto"/>
        </w:rPr>
        <w:t>: On February 18, 2015, Navios Holdings, Navios Acquisition and Navios Partners established Navios Europe II and have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of 47.5%, 47.5% and 5.0%, respectively. From June 8, 2015 through December 31, 2015, Navios Europe II acquired fourteen vessels for aggregate consideration consisting of: (i) cash consideration of $145,550 (which was funded with the proceeds of a $131,550 senior loan facilities net of loan discount amounting to $3,375 (the “Senior Loans II”) and loans aggregating $14,000 from Navios Holdings, Navios Acquisition and Navios Partners (collectively, the “Navios Term Loans II”); and (ii) the assumption of a junior participating loan facility (the “Junior Loan II”) with a face amount of $182,150 and fair value of $99,147, at the acquisition date. In addition to the Navios Term Loans II, Navios Holdings, Navios Acquisition and Navios Partners have also made available to Navios Europe II revolving loans up to $43,500 to fund working capital requirements (collectively, the “Navios Revolving Loans II”). In March 2017, the availability under the Navios Revolving Loans II was increased by $14,000.</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an ongoing basis, Navios Europe II is required to distribute cash flows (after payment of operating expenses, amounts due pursuant to the terms of the Senior Loans and repayments of the Navios Revolving Loans II) according to a defined waterfall calculation. Navios Partners evaluated its investment in Navios Europe II under ASC 810 and concluded that Navios Europe II is a variable interest entity (“VIE”) and that it is not the party most closely associated with Navios Europe II and, accordingly, is not the primary beneficiary of Navios Europe II. Navios Partners further evaluated its investment in the common stock of Navios Europe II under ASC 323 and concluded that it has the ability to exercise significant influence over the operating and financial policies of Navios Europe II and, therefore, its investment in Navios Europe II is accounted for under the equity method.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2017 and December 31, 2016, the estimated maximum potential loss by Navios Partners in Navios Europe II would have been $10,322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$1,837), excluding accrued interest, which represents the Company’s carrying value of the investment of $552 (December 31,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$616) plus the Company’s balance of the Navios Revolving Loans II of $9,770 (December 31, 2016: $1,221), excluding accrued interest, and does not include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undrawn portion of the Navios Revolving Loans II.</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of June 30, 2017, the Navios Partners’ portion of the Navios Revolving Loan II outstanding was $9,770. Investment loss of $(63) was recognized in the Statements of Operations under the caption of “Other income” for the six month period ended June 30, 2017. Investment loss of $(3) was recognized in the Statements of Operations under the caption of “Other income” for six month period ended June 30,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CASH DISTRIBUTIONS AND EARNINGS PER UNIT</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Navios Partners intends to make distributions to the holders of common units on a quarterly basis, to the extent and as may be declared by the Board and to the extent it has sufficient cash on hand to pay the distribution after the Company establishes cash reserves and pays fees and expenses. There is no guarantee that Navios Partners will pay a quarterly distribution on the common units in any quarter. On February 3, 2016, Navios Partners announced that its board of directors decided to suspend the quarterly cash distributions to its unitholders, including the distribution for the quarter ended December 31, 2015. The amount of any distributions paid under Navios Partners’ policy and the decision to make any distribution is determined by its board of directors, taking into consideration the terms of its partnership agreement. The Company is prohibited from making any distributions to unitholders if it would cause an event of default, or an event of default exists, under its existing credit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is incentive distribution rights held by the General Partner, which are analyzed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Marginal Percentage</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Total Quarterly Distribution</w:t>
            </w:r>
          </w:p>
        </w:tc>
        <w:tc>
          <w:tcPr>
            <w:tcW w:w="22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Interest in Distributions</w:t>
            </w: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520" w:type="dxa"/>
            <w:vAlign w:val="bottom"/>
            <w:tcBorders>
              <w:top w:val="single" w:sz="8" w:color="auto"/>
            </w:tcBorders>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rPr>
              <w:t>Common</w:t>
            </w: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General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Amount</w:t>
            </w:r>
          </w:p>
        </w:tc>
        <w:tc>
          <w:tcPr>
            <w:tcW w:w="5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Unitholders</w:t>
            </w:r>
          </w:p>
        </w:tc>
        <w:tc>
          <w:tcPr>
            <w:tcW w:w="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Partner</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1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up to $0.35</w:t>
            </w:r>
          </w:p>
        </w:tc>
        <w:tc>
          <w:tcPr>
            <w:tcW w:w="5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840" w:type="dxa"/>
            <w:vAlign w:val="bottom"/>
            <w:gridSpan w:val="3"/>
          </w:tcPr>
          <w:p>
            <w:pPr>
              <w:ind w:left="1140"/>
              <w:spacing w:after="0"/>
              <w:rPr>
                <w:sz w:val="20"/>
                <w:szCs w:val="20"/>
                <w:color w:val="auto"/>
              </w:rPr>
            </w:pPr>
            <w:r>
              <w:rPr>
                <w:rFonts w:ascii="Arial" w:cs="Arial" w:eastAsia="Arial" w:hAnsi="Arial"/>
                <w:sz w:val="18"/>
                <w:szCs w:val="18"/>
                <w:color w:val="auto"/>
              </w:rPr>
              <w:t>up to $0.4025</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384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above $0.4025 up to $0.4375</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840" w:type="dxa"/>
            <w:vAlign w:val="bottom"/>
            <w:gridSpan w:val="3"/>
          </w:tcPr>
          <w:p>
            <w:pPr>
              <w:ind w:left="1140"/>
              <w:spacing w:after="0"/>
              <w:rPr>
                <w:sz w:val="20"/>
                <w:szCs w:val="20"/>
                <w:color w:val="auto"/>
              </w:rPr>
            </w:pPr>
            <w:r>
              <w:rPr>
                <w:rFonts w:ascii="Arial" w:cs="Arial" w:eastAsia="Arial" w:hAnsi="Arial"/>
                <w:sz w:val="18"/>
                <w:szCs w:val="18"/>
                <w:color w:val="auto"/>
              </w:rPr>
              <w:t>above $0.4375 up to $0.525</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84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above $0.525</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first 98% of the quarterly distribution is paid to all common units holders. The incentive distributions rights (held by the General Partner) apply only after a minimum quarterly distribution of $0.4025.</w:t>
      </w:r>
    </w:p>
    <w:p>
      <w:pPr>
        <w:spacing w:after="0" w:line="17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Navios Partners calculates earnings per unit by allocating reported net income for each period to each class of units based on the distribution waterfall for available cash specified in Navios Partners’ partnership agreement, net of the unallocated earnings (or losses). Basic earnings per unit is determined by dividing net income by the weighted average number of units outstanding during the period. Diluted earnings per unit is calculated in the same manner as basic earnings per unit, except that the weighted average number of outstanding units increased to include the dilutive effect of outstanding unit options or phantom units. Net loss per unit undistributed is determined by taking the distributions in excess of net income and allocating between common units and general partner units on a 98%-2% basis. There were no options or phantom units outstanding during the six months ended June 30, 2017 and 2016.</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the basic and diluted earnings per unit are presented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 Period Ended</w:t>
            </w:r>
          </w:p>
        </w:tc>
        <w:tc>
          <w:tcPr>
            <w:tcW w:w="100" w:type="dxa"/>
            <w:vAlign w:val="bottom"/>
          </w:tcPr>
          <w:p>
            <w:pPr>
              <w:spacing w:after="0"/>
              <w:rPr>
                <w:sz w:val="14"/>
                <w:szCs w:val="14"/>
                <w:color w:val="auto"/>
              </w:rPr>
            </w:pPr>
          </w:p>
        </w:tc>
        <w:tc>
          <w:tcPr>
            <w:tcW w:w="25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 Period Ended</w:t>
            </w:r>
          </w:p>
        </w:tc>
      </w:tr>
      <w:tr>
        <w:trPr>
          <w:trHeight w:val="119"/>
        </w:trPr>
        <w:tc>
          <w:tcPr>
            <w:tcW w:w="4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June 30,</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r>
      <w:tr>
        <w:trPr>
          <w:trHeight w:val="171"/>
        </w:trPr>
        <w:tc>
          <w:tcPr>
            <w:tcW w:w="43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(16,598)</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Earnings attributable to:</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(16,470)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(16,266)</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w w:val="97"/>
              </w:rPr>
              <w:t>Weighted average units outstanding (basic and diluted)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145,396,276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83,079,710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119,013,847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83,079,710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Earnings per unit (basic and diluted):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Earnings per unit — distributed (basic and diluted):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Loss per unit — undistributed (basic and diluted):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unit holders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Potential common units of 2,040,000 and 0 relating to unvested restricted common units for each of the three and six month periods ended June 30, 2017 and 2016 have an anti-dilutive effect (i.e. those that increase income per unit or decrease loss per unit) and are therefore excluded from the calculation of diluted earnings per unit.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15, 2012 (as amended in March 2014), Navios Holdings and Navios Partners entered into an agreement (the “Navios Holdings Guarantee”) by which Navios Holdings will provide supplemental credit default insurance with a maximum cash payment of $20,000. During each of the three and six month periods ended June 30, 2017, the Company submitted claims for charterers’ default under this agreement to Navios Holdings for a total amount in each period of $2,276 and $4,527, respectively, net of applicable deductions, of which $2,396 and $4,765 was recorded as “Other income”. During each of the three and six month period ended June 30, 2016, the Company submitted claims for charterers’ default under this agreement to Navios Holdings for a total amount of $2,276 and $4,552, net of applicable deductions, of which $2,396 and $4,791, respectively, was recorded as “Other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2017, the amount of $1,495 relating to an allowance for doubtful accounts is included in line item “Other expense” of the interim condensed Statements of Operations.</w:t>
      </w:r>
    </w:p>
    <w:p>
      <w:pPr>
        <w:spacing w:after="0" w:line="17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On January 12, 2017, Navios Partners sold the vessel MSC Cristina, which was classified as held for sale as of December 31, 2016, to an unrelated third party. The carrying value of the vessel was $125,000 and sale proceeds less costs to sell totaled $123,740. As of June 30, 2017, a loss of $1,260 had been recognized under the line item “Other expense” of the interim condensed Statements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NAVIOS MARITIME PARTNERS L.P.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 except unit and per unit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Partners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July 2017, Navios Partners agreed to acquire from an unrelated third party one 2010 Hyundai-built Capesize vessel of approximately 179,314 dwt, for a purchase price of $26,700 plus the issuance of 1,000 common units at a price of $2.1 per unit. The vessel is expected to be delivered to Navios Partners’ owned fleet in the third quarter of 2017. The vessel is subject to signing of definitive documentation.</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July 2017, Navios Partners agreed to acquire from a related party one 2009 Tsuneishi Zhoushan-built Handymax vessel of approximately 58,058 dwt, for a total purchase price of $13,750. The vessel is expected to be delivered to Navios Partners’ owned fleet in the third quarter of 2017.</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July 5, 2017, Navios Partners acquired from an unrelated third party the Navios Libertas, a 2007-South Korean-built Panamax vessel of 75,511 dwt, for a purchase price of $13,500.</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July 11, 2017, Navios Partners acquired from an unrelated third party the Navios Sol, a 2009-Japanese-built Capesize vessel of 180,274 dwt, for a purchase price of $28,300.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Navios Containers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July 2017, Navios Containers took delivery of (i) the Navios Amarillo, a 2007-built 4,250 TEU container vessel; (ii) the Navios Verde, a 2007-built 4,250 TEU container vessel; (iii) the Navios Azure, a 2007-built 4,250 TEU container vessel; (iv) the Navios Summer, a 2006-built 3,450 TEU container vessel; and (v) the Navios Verano, a 2006-built 3,450 TEU container vessel , for a total purchase price of $29,500, of which $5,680 was financed through the existing loan with ABN Bank, and the balance with available cash.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2017</w:t>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lowerRoman"/>
      <w:start w:val="2"/>
    </w:lvl>
  </w:abstractNum>
  <w:abstractNum w:abstractNumId="9">
    <w:nsid w:val="7C83E458"/>
    <w:multiLevelType w:val="hybridMultilevel"/>
    <w:lvl w:ilvl="0">
      <w:lvlJc w:val="left"/>
      <w:lvlText w:val="(%1)"/>
      <w:numFmt w:val="lowerRoman"/>
      <w:start w:val="3"/>
    </w:lvl>
  </w:abstractNum>
  <w:abstractNum w:abstractNumId="10">
    <w:nsid w:val="257130A3"/>
    <w:multiLevelType w:val="hybridMultilevel"/>
    <w:lvl w:ilvl="0">
      <w:lvlJc w:val="left"/>
      <w:lvlText w:val="(%1)"/>
      <w:numFmt w:val="lowerRoman"/>
      <w:start w:val="2"/>
    </w:lvl>
  </w:abstractNum>
  <w:abstractNum w:abstractNumId="11">
    <w:nsid w:val="62BBD95A"/>
    <w:multiLevelType w:val="hybridMultilevel"/>
    <w:lvl w:ilvl="0">
      <w:lvlJc w:val="left"/>
      <w:lvlText w:val="(%1)"/>
      <w:numFmt w:val="lowerRoman"/>
      <w:start w:val="5"/>
    </w:lvl>
  </w:abstractNum>
  <w:abstractNum w:abstractNumId="12">
    <w:nsid w:val="436C6125"/>
    <w:multiLevelType w:val="hybridMultilevel"/>
    <w:lvl w:ilvl="0">
      <w:lvlJc w:val="left"/>
      <w:lvlText w:val="(%1)"/>
      <w:numFmt w:val="lowerRoman"/>
      <w:start w:val="2"/>
    </w:lvl>
  </w:abstractNum>
  <w:abstractNum w:abstractNumId="13">
    <w:nsid w:val="628C895D"/>
    <w:multiLevelType w:val="hybridMultilevel"/>
    <w:lvl w:ilvl="0">
      <w:lvlJc w:val="left"/>
      <w:lvlText w:val="(%1)"/>
      <w:numFmt w:val="lowerRoman"/>
      <w:start w:val="5"/>
    </w:lvl>
  </w:abstractNum>
  <w:abstractNum w:abstractNumId="14">
    <w:nsid w:val="333AB105"/>
    <w:multiLevelType w:val="hybridMultilevel"/>
    <w:lvl w:ilvl="0">
      <w:lvlJc w:val="left"/>
      <w:lvlText w:val="(%1)"/>
      <w:numFmt w:val="lowerRoman"/>
      <w:start w:val="8"/>
    </w:lvl>
  </w:abstractNum>
  <w:abstractNum w:abstractNumId="15">
    <w:nsid w:val="721DA317"/>
    <w:multiLevelType w:val="hybridMultilevel"/>
    <w:lvl w:ilvl="0">
      <w:lvlJc w:val="left"/>
      <w:lvlText w:val="(%1)"/>
      <w:numFmt w:val="lowerRoman"/>
      <w:start w:val="1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6"/>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lowerLetter"/>
      <w:start w:val="6"/>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2020-01-17T21:35:32Z</dcterms:created>
  <dcterms:modified xsi:type="dcterms:W3CDTF">2020-01-17T21:35:32Z</dcterms:modified>
</cp:coreProperties>
</file>