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pPr>
      <w:bookmarkStart w:id="0" w:name="nmm-20260630.htm"/>
      <w:bookmarkStart w:id="1" w:name="ksnmm20260630"/>
      <w:bookmarkEnd w:id="0"/>
      <w:bookmarkEnd w:id="1"/>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bidi w:val="0"/>
        <w:jc w:val="center"/>
        <w:rPr/>
      </w:pPr>
      <w:r>
        <w:rPr/>
        <w:t>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6-K</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REPORT OF FOREIGN PRIVATE ISSUER</w:t>
      </w:r>
    </w:p>
    <w:p>
      <w:pPr>
        <w:pStyle w:val="TextBody"/>
        <w:bidi w:val="0"/>
        <w:jc w:val="center"/>
        <w:rPr>
          <w:rFonts w:ascii="Times New Roman" w:hAnsi="Times New Roman"/>
          <w:b/>
          <w:color w:val="000000"/>
          <w:sz w:val="22"/>
        </w:rPr>
      </w:pPr>
      <w:r>
        <w:rPr>
          <w:rFonts w:ascii="Times New Roman" w:hAnsi="Times New Roman"/>
          <w:b/>
          <w:color w:val="000000"/>
          <w:sz w:val="22"/>
        </w:rPr>
        <w:t>PURSUANT TO RULE 13A-16 OR 15D-16</w:t>
      </w:r>
    </w:p>
    <w:p>
      <w:pPr>
        <w:pStyle w:val="TextBody"/>
        <w:bidi w:val="0"/>
        <w:jc w:val="center"/>
        <w:rPr>
          <w:rFonts w:ascii="Times New Roman" w:hAnsi="Times New Roman"/>
          <w:b/>
          <w:color w:val="000000"/>
          <w:sz w:val="22"/>
        </w:rPr>
      </w:pPr>
      <w:r>
        <w:rPr>
          <w:rFonts w:ascii="Times New Roman" w:hAnsi="Times New Roman"/>
          <w:b/>
          <w:color w:val="000000"/>
          <w:sz w:val="22"/>
        </w:rPr>
        <w:t>OF THE SECURITIES EXCHANGE ACT OF 1934</w:t>
      </w:r>
    </w:p>
    <w:p>
      <w:pPr>
        <w:pStyle w:val="TextBody"/>
        <w:bidi w:val="0"/>
        <w:jc w:val="left"/>
        <w:rPr/>
      </w:pPr>
      <w:r>
        <w:rPr/>
        <w:t> </w:t>
      </w:r>
    </w:p>
    <w:p>
      <w:pPr>
        <w:pStyle w:val="TextBody"/>
        <w:bidi w:val="0"/>
        <w:jc w:val="center"/>
        <w:rPr>
          <w:rFonts w:ascii="Times New Roman" w:hAnsi="Times New Roman"/>
          <w:b/>
          <w:color w:val="000000"/>
          <w:sz w:val="19"/>
        </w:rPr>
      </w:pPr>
      <w:r>
        <w:rPr>
          <w:rFonts w:ascii="Times New Roman" w:hAnsi="Times New Roman"/>
          <w:b/>
          <w:color w:val="000000"/>
          <w:sz w:val="19"/>
        </w:rPr>
        <w:t>DATED: August 27, 2026</w:t>
      </w:r>
    </w:p>
    <w:p>
      <w:pPr>
        <w:pStyle w:val="TextBody"/>
        <w:bidi w:val="0"/>
        <w:spacing w:before="240" w:after="283"/>
        <w:jc w:val="center"/>
        <w:rPr>
          <w:rFonts w:ascii="Times New Roman" w:hAnsi="Times New Roman"/>
          <w:b/>
          <w:color w:val="000000"/>
          <w:sz w:val="19"/>
        </w:rPr>
      </w:pPr>
      <w:r>
        <w:rPr>
          <w:rFonts w:ascii="Times New Roman" w:hAnsi="Times New Roman"/>
          <w:b/>
          <w:color w:val="000000"/>
          <w:sz w:val="19"/>
        </w:rPr>
        <w:t>Commission File No. 001-33811</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b/>
          <w:color w:val="000000"/>
          <w:sz w:val="43"/>
        </w:rPr>
      </w:pPr>
      <w:r>
        <w:rPr>
          <w:rFonts w:ascii="Times New Roman" w:hAnsi="Times New Roman"/>
          <w:b/>
          <w:color w:val="000000"/>
          <w:sz w:val="43"/>
        </w:rPr>
        <w:t>NAVIOS MARITIME PARTNERS L.P.</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 Navios Shipmanagement Inc.</w:t>
      </w:r>
    </w:p>
    <w:p>
      <w:pPr>
        <w:pStyle w:val="TextBody"/>
        <w:bidi w:val="0"/>
        <w:jc w:val="center"/>
        <w:rPr>
          <w:rFonts w:ascii="Times New Roman" w:hAnsi="Times New Roman"/>
          <w:b/>
          <w:color w:val="000000"/>
          <w:sz w:val="20"/>
        </w:rPr>
      </w:pPr>
      <w:r>
        <w:rPr>
          <w:rFonts w:ascii="Times New Roman" w:hAnsi="Times New Roman"/>
          <w:b/>
          <w:color w:val="000000"/>
          <w:sz w:val="20"/>
        </w:rPr>
        <w:t>85 Akti Miaouli</w:t>
      </w:r>
    </w:p>
    <w:p>
      <w:pPr>
        <w:pStyle w:val="TextBody"/>
        <w:bidi w:val="0"/>
        <w:jc w:val="center"/>
        <w:rPr>
          <w:rFonts w:ascii="Times New Roman" w:hAnsi="Times New Roman"/>
          <w:sz w:val="20"/>
        </w:rPr>
      </w:pPr>
      <w:r>
        <w:rPr>
          <w:rFonts w:ascii="Times New Roman" w:hAnsi="Times New Roman"/>
          <w:b/>
          <w:color w:val="000000"/>
          <w:sz w:val="20"/>
        </w:rPr>
        <w:t>Piraeus</w:t>
      </w:r>
      <w:r>
        <w:rPr>
          <w:rFonts w:ascii="Times New Roman" w:hAnsi="Times New Roman"/>
          <w:color w:val="000000"/>
          <w:sz w:val="20"/>
        </w:rPr>
        <w:t xml:space="preserve"> </w:t>
      </w:r>
      <w:r>
        <w:rPr>
          <w:rFonts w:ascii="Times New Roman" w:hAnsi="Times New Roman"/>
          <w:b/>
          <w:color w:val="000000"/>
          <w:sz w:val="20"/>
        </w:rPr>
        <w:t>18538, Greece</w:t>
      </w:r>
    </w:p>
    <w:p>
      <w:pPr>
        <w:pStyle w:val="TextBody"/>
        <w:bidi w:val="0"/>
        <w:jc w:val="center"/>
        <w:rPr>
          <w:rFonts w:ascii="Times New Roman" w:hAnsi="Times New Roman"/>
          <w:b/>
          <w:color w:val="000000"/>
          <w:sz w:val="19"/>
        </w:rPr>
      </w:pPr>
      <w:r>
        <w:rPr>
          <w:rFonts w:ascii="Times New Roman" w:hAnsi="Times New Roman"/>
          <w:b/>
          <w:color w:val="000000"/>
          <w:sz w:val="19"/>
        </w:rPr>
        <w:t>(Address of Principal Executive Offices)</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Indicate by check mark whether the registrant files or will file annual reports under cover of Form 20-F or Form 40-F.</w:t>
      </w:r>
    </w:p>
    <w:p>
      <w:pPr>
        <w:pStyle w:val="TextBody"/>
        <w:bidi w:val="0"/>
        <w:jc w:val="center"/>
        <w:rPr/>
      </w:pPr>
      <w:r>
        <w:rPr/>
        <w:t> </w:t>
      </w:r>
    </w:p>
    <w:tbl>
      <w:tblPr>
        <w:tblW w:w="2443" w:type="dxa"/>
        <w:jc w:val="left"/>
        <w:tblInd w:w="0" w:type="dxa"/>
        <w:tblLayout w:type="fixed"/>
        <w:tblCellMar>
          <w:top w:w="28" w:type="dxa"/>
          <w:left w:w="28" w:type="dxa"/>
          <w:bottom w:w="28" w:type="dxa"/>
          <w:right w:w="28" w:type="dxa"/>
        </w:tblCellMar>
      </w:tblPr>
      <w:tblGrid>
        <w:gridCol w:w="1111"/>
        <w:gridCol w:w="146"/>
        <w:gridCol w:w="1186"/>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Form 20-F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Form 40-F ☐</w:t>
            </w:r>
          </w:p>
        </w:tc>
      </w:tr>
    </w:tbl>
    <w:p>
      <w:pPr>
        <w:pStyle w:val="TextBody"/>
        <w:pBdr>
          <w:bottom w:val="double" w:sz="6" w:space="1" w:color="000000"/>
        </w:pBdr>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NAVIOS MARITIME PARTNERS L.P.</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FORM 6-K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4618" w:type="dxa"/>
        <w:jc w:val="left"/>
        <w:tblInd w:w="0" w:type="dxa"/>
        <w:tblLayout w:type="fixed"/>
        <w:tblCellMar>
          <w:top w:w="28" w:type="dxa"/>
          <w:left w:w="28" w:type="dxa"/>
          <w:bottom w:w="28" w:type="dxa"/>
          <w:right w:w="28" w:type="dxa"/>
        </w:tblCellMar>
      </w:tblPr>
      <w:tblGrid>
        <w:gridCol w:w="3901"/>
        <w:gridCol w:w="146"/>
        <w:gridCol w:w="57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3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3901" w:type="dxa"/>
            <w:tcBorders/>
            <w:tcMar>
              <w:top w:w="0" w:type="dxa"/>
              <w:left w:w="0" w:type="dxa"/>
              <w:bottom w:w="0" w:type="dxa"/>
              <w:right w:w="0" w:type="dxa"/>
            </w:tcMar>
            <w:vAlign w:val="center"/>
          </w:tcPr>
          <w:p>
            <w:pPr>
              <w:pStyle w:val="TableContents"/>
              <w:bidi w:val="0"/>
              <w:spacing w:before="0" w:after="283"/>
              <w:jc w:val="left"/>
              <w:rPr/>
            </w:pPr>
            <w:hyperlink w:anchor="operating_financial_review_and_prospects">
              <w:r>
                <w:rPr>
                  <w:rStyle w:val="InternetLink"/>
                  <w:rFonts w:ascii="Times New Roman" w:hAnsi="Times New Roman"/>
                  <w:color w:val="0000FF"/>
                  <w:sz w:val="20"/>
                  <w:u w:val="single"/>
                </w:rPr>
                <w:t>Operating and Financial Review and Prospects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3901" w:type="dxa"/>
            <w:tcBorders/>
            <w:tcMar>
              <w:top w:w="0" w:type="dxa"/>
              <w:left w:w="0" w:type="dxa"/>
              <w:bottom w:w="0" w:type="dxa"/>
              <w:right w:w="0" w:type="dxa"/>
            </w:tcMar>
            <w:vAlign w:val="center"/>
          </w:tcPr>
          <w:p>
            <w:pPr>
              <w:pStyle w:val="TableContents"/>
              <w:bidi w:val="0"/>
              <w:spacing w:before="0" w:after="283"/>
              <w:jc w:val="left"/>
              <w:rPr/>
            </w:pPr>
            <w:hyperlink w:anchor="exhibit_list">
              <w:r>
                <w:rPr>
                  <w:rStyle w:val="InternetLink"/>
                  <w:rFonts w:ascii="Times New Roman" w:hAnsi="Times New Roman"/>
                  <w:color w:val="0000FF"/>
                  <w:sz w:val="20"/>
                  <w:u w:val="single"/>
                </w:rPr>
                <w:t>Exhibit List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3901" w:type="dxa"/>
            <w:tcBorders/>
            <w:tcMar>
              <w:top w:w="0" w:type="dxa"/>
              <w:left w:w="0" w:type="dxa"/>
              <w:bottom w:w="0" w:type="dxa"/>
              <w:right w:w="0" w:type="dxa"/>
            </w:tcMar>
            <w:vAlign w:val="center"/>
          </w:tcPr>
          <w:p>
            <w:pPr>
              <w:pStyle w:val="TableContents"/>
              <w:bidi w:val="0"/>
              <w:spacing w:before="0" w:after="283"/>
              <w:jc w:val="left"/>
              <w:rPr/>
            </w:pPr>
            <w:hyperlink w:anchor="index">
              <w:r>
                <w:rPr>
                  <w:rStyle w:val="InternetLink"/>
                  <w:rFonts w:ascii="Times New Roman" w:hAnsi="Times New Roman"/>
                  <w:color w:val="0000FF"/>
                  <w:sz w:val="20"/>
                  <w:u w:val="single"/>
                </w:rPr>
                <w:t>INDEX</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report on Form 6-K is hereby incorporated by reference into the Navios Maritime Partners L.P. Registration Statement on Form F-3, File No. 333-296172.</w:t>
      </w:r>
    </w:p>
    <w:p>
      <w:pPr>
        <w:pStyle w:val="TextBody"/>
        <w:bidi w:val="0"/>
        <w:spacing w:before="360" w:after="283"/>
        <w:jc w:val="both"/>
        <w:rPr>
          <w:rFonts w:ascii="Times New Roman" w:hAnsi="Times New Roman"/>
          <w:b/>
          <w:color w:val="000000"/>
          <w:sz w:val="20"/>
        </w:rPr>
      </w:pPr>
      <w:bookmarkStart w:id="2" w:name="operating_financial_review_and_prospects"/>
      <w:bookmarkEnd w:id="2"/>
      <w:r>
        <w:rPr>
          <w:rFonts w:ascii="Times New Roman" w:hAnsi="Times New Roman"/>
          <w:b/>
          <w:color w:val="000000"/>
          <w:sz w:val="20"/>
        </w:rPr>
        <w:t>Operating and Financial Review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is a discussion of the financial condition and results of operations for the three and six month periods ended June 30, 2026 and 2025 of Navios Maritime Partners L.P. (referred to herein as “we”, “us”, “Company” or “Navios Partners”). All of the financial statements have been stated in accordance with generally accepted accounting principles in the United States of America (“U.S. GAAP”). You should read this section together with the consolidated financial statements and the accompanying notes included in Navios Partners’ 2025 annual report filed on Form 20-F on March 12, 2026 (the “Annual Report”) with the U.S. Securities and Exchange Commission (the “SEC”).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report contains and will contain forward-looking statements (as defined in Section 27A of the Securities Act of 1933, as amended, and Section 21E of the Securities Exchange Act of 1934, as amended) concerning future events, TCE rates (as defined herein), and Navios Partners’ expected cash flow generation, future contracted revenues, future distributions and its ability to make distributions going forward, opportunities to reinvest cash accretively in a fleet renewal program or otherwise, potential capital gains, its ability to take advantage of dislocation in the market and Navios Partners’ growth strategy and measures to implement such strategy, including expected vessel acquisitions and entering into further time charters and Navios Partners’ ability to refinance its debt on attractive terms, or at all. Words such as “may”, “expects”, “intends”, “plans”, “believes”, “anticipates”, “hopes”, “estimates” and variations of such words and similar expressions are intended to identify forward-looking statements. These forward-looking statements are based on the information available to, and the expectations and assumptions deemed reasonable by Navios Partners at the time these statements were made. Although Navios Partners believes that the expectations reflected in such forward-looking statements are reasonable, no assurance can be given that such expectations will prove to have been correct. These statements involve risks and are based upon a number of assumptions and estimates that are inherently subject to significant uncertainties and contingencies, many of which are beyond the control of Navios Partners. Actual results may differ materially from those expressed or implied by such forward-looking statements. Factors that could cause actual results to differ materially include, but are not limited to, risks relating to: global and regional economic and political conditions including global economic activity, demand for seaborne transportation of the products we ship, the ability and willingness of charterers to fulfill their obligations to us and prevailing charter rates, the economic condition of the markets in which we operate, shipyards performing scrubber installations, construction of newbuilding vessels, drydocking and repairs, changing vessel crews and availability of financing, potential disruption of shipping routes due to accidents, wars, sanctions, diseases, pandemics, political events, piracy or acts by terrorists, uncertainty relating to global trade, including prices of seaborne commodities, continuing issues related to seaborne volume and ton miles and the impact of tariffs, the adequacy of our insurance arrangements and our ability to obtain insurance and required certifications, our continued ability to enter into long-term time charters, our ability to maximize the use of our vessels, expected demand in the dry and liquid cargo shipping sectors in general and the demand for our dry bulk, containerships and tanker vessels in particular, fluctuations in charter rates for dry bulk, containerships and tanker vessels, the aging of our fleet and resultant increases in operations costs, the loss of any customer or charter or vessel, the financial condition of our customers, changes in the availability and costs of funding due to conditions in the bank market, capital markets and other factors, the repayment of debt and servicing of our bonds, fluctuation in interest rates and foreign exchange rates, increases in costs and expenses, including but not limited to: crew, insurance, provisions, port expenses, lube oil, bunkers, repairs, maintenance and general and administrative expenses, the expected cost of, and our ability to comply with, governmental regulations and maritime self-regulatory organization standards, as well as standard regulations imposed by our charterers applicable to our business, general domestic and international political conditions, competitive factors in the market in which Navios Partners operates, risks associated with operations outside the United States, the growing expectations from investors, lenders, charterers, and other market participants regarding our sustainability practices, as well as our capacity to implement sustainability initiatives and achieve our objectives and targets, and other factors listed from time to time in Navios Partners’ filings with the SEC, including its Form 20-F and Form 6-K. Navios Partners expressly disclaims any obligations or undertaking to release publicly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updates or revisions to any forward-looking statements contained herein to reflect any change in Navios Partners’ expectations with respect thereto or any change in events, conditions or circumstances on which any statement is based. Navios Partners makes no prediction or statement about the performance of its common units.</w:t>
      </w:r>
    </w:p>
    <w:p>
      <w:pPr>
        <w:pStyle w:val="TextBody"/>
        <w:bidi w:val="0"/>
        <w:spacing w:before="320" w:after="283"/>
        <w:jc w:val="both"/>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Board of Directors of Navios Partners has authorized a new common unit repurchase program for up to $200.0 million that is expected to become effective in the third quarter of 2026. As of August 20, 2026, Navios Partners had repurchased 1,880,880 common units under its previously authorized $100.0 million common unit repurchase program, for a total cost of approximately $92.6 million. Upon termination of the previously authorized common unit repurchase program in August 2026, the remaining availability was added to the Company’s newly authorized common unit repurchase program, resulting in the aggregate repurchase authorization of up to $207.4 million. Common unit repurchases will be made from time to time for cash in open market transactions at prevailing market prices or in privately negotiated transactions. The timing and amount of repurchases under the program will be determined by Navios Partners’ management based upon market conditions and financial and other considerations, including working capital and planned or anticipated growth opportunities. The program does not require any minimum repurchase or any specific number of common units and may be suspended or reinstated at any time in the Company’s discretion and without notice. The Board of Directors will review the program periodically.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June and July 2026, Navios Partners agreed to acquire three newbuilding scrubber-fitted VLCC tankers from an unrelated third party for an aggregate purchase price of $361.5 million. The vessels are expected to be delivered into Navios Partners’ fleet during the second half of 2028 and in 2029. The closings of the transactions are subject to completion of customary documentation.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July 2026, Navios Partners agreed to acquire a Japanese newbuilding scrubber-fitted capesize vessel from an unrelated third party under a ten-year bareboat-in contract. Navios Partners has the option to acquire the vessel starting at the end of year four until the end of the charter period. Assuming the exercise of the option at the end of the ten-year period, the bareboat agreement reflects an implied purchase price of approximately $70.1 million at an implied effective interest rate of about 6.0%. The vessel is expected to be delivered into Navios Partners’ fleet during the second half of 2029. The closing of the transaction is subject to completion of customary documentation.</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In August 2026, Navios Partners took delivery of a 2026-built Aframax/LR2 scrubber-fitted tanker vessel of 117,012 dwt.</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In August 2026, Navios Partners agreed to sell a 2008-built 4,730 TEU containership and a 2009-built capesize vessel of 180,727 dwt to unrelated third parties for an aggregate gross sale price of $65.3 million. The sale of the containership is expected to be completed during the second half of 2027 and the sale of the capesize vessel is expected to be completed during the second half of 2026.</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international owner and operator of dry cargo and tanker vessels that was formed in August 2007 by Navios Maritime Holdings Inc under the laws of the Republic of the Marshall Islands. We have been a public company since November 2007.</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August 20, 2026, there were outstanding 28,303,508 common units and 622,296 general partnership units. Angeliki Frangou, our Chief Executive Officer and Chairwoman beneficially owned an approximately 18.2% common interest of the total outstanding common units, consisting of 5,157,677 common units held directly or indirectly through entities affiliated with her. In addition, an entity affiliated with Angeliki Frangou beneficially owned 622,296 general partnership units, representing an approximately 2.2% ownership interest in Navios Partners based on all outstanding common units and general partnership units.</w:t>
      </w:r>
    </w:p>
    <w:p>
      <w:pPr>
        <w:pStyle w:val="TextBody"/>
        <w:bidi w:val="0"/>
        <w:spacing w:before="320" w:after="120"/>
        <w:jc w:val="both"/>
        <w:rPr>
          <w:rFonts w:ascii="Times New Roman" w:hAnsi="Times New Roman"/>
          <w:b/>
          <w:color w:val="000000"/>
          <w:sz w:val="20"/>
        </w:rPr>
      </w:pPr>
      <w:r>
        <w:rPr>
          <w:rFonts w:ascii="Times New Roman" w:hAnsi="Times New Roman"/>
          <w:b/>
          <w:color w:val="000000"/>
          <w:sz w:val="20"/>
        </w:rPr>
        <w:t>Fleet</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As of August 20, 2026, Navios Partners’ fleet consisted of 65 dry bulk vessels, 50 containerships and 60 tanker vessels, including three newbuilding capesize vessels (chartered-in vessels under bareboat contracts) that are expected to be delivered in the second half of 2028 and during 2029, seven newbuilding containerships (three 7,900 TEU containerships and four 8,850 TEU containerships) that are expected to be delivered through the first half of 2028 and 19 newbuilding tanker vessels (seven VLCC tanker vessels, eight aframax/LR2 and four MR2 product tanker chartered-in vessels under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bareboat contracts) that are expected to be delivered through 2029. The fleet excludes a 4,730 TEU containership and a capesize vessel of 180,727 dwt that have been agreed to be sold.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generate revenues by charging our customers for the use of our vessels to transport their dry cargo commodities, containers, crude oil and/or refined petroleum products. In general, the vessels in our fleet are chartered-out under time charters with duration of up to 12 years at inception. From time to time, we operate vessels in the spot market until the vessels have been chartered out under short-term, medium-term and long-term charters.</w:t>
      </w:r>
    </w:p>
    <w:tbl>
      <w:tblPr>
        <w:tblW w:w="7552" w:type="dxa"/>
        <w:jc w:val="left"/>
        <w:tblInd w:w="0" w:type="dxa"/>
        <w:tblLayout w:type="fixed"/>
        <w:tblCellMar>
          <w:top w:w="28" w:type="dxa"/>
          <w:left w:w="28" w:type="dxa"/>
          <w:bottom w:w="28" w:type="dxa"/>
          <w:right w:w="28" w:type="dxa"/>
        </w:tblCellMar>
      </w:tblPr>
      <w:tblGrid>
        <w:gridCol w:w="2877"/>
        <w:gridCol w:w="195"/>
        <w:gridCol w:w="1952"/>
        <w:gridCol w:w="195"/>
        <w:gridCol w:w="705"/>
        <w:gridCol w:w="195"/>
        <w:gridCol w:w="195"/>
        <w:gridCol w:w="1047"/>
        <w:gridCol w:w="191"/>
      </w:tblGrid>
      <w:tr>
        <w:trPr/>
        <w:tc>
          <w:tcPr>
            <w:tcW w:w="287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361"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table provides summary information about our fleet as of August 20, 2026: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Owned Dry bulk Vessels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Built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Capacity</w:t>
              <w:br/>
              <w:t>(DWT)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Christine B</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Ultra-Handymax</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Celestial</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Ultra-Handymax</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Venus</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Ultra-Handymax</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La Paix</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Ultra-Handymax</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Victory</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Panamax</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Rainbow N</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Panamax</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Unity N</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Panamax</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Odysseus N</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Panamax</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Amber</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Kamsarmax</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Avior</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Kamsarmax</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Centaurus</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Kamsarmax</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Citrine</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Kamsarmax</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Dolphin</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Kamsarmax</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Navios Horizon I </w:t>
            </w:r>
            <w:r>
              <w:rPr>
                <w:rFonts w:ascii="Times New Roman" w:hAnsi="Times New Roman"/>
                <w:color w:val="000000"/>
                <w:sz w:val="13"/>
              </w:rPr>
              <w:t>(5)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Kamsarmax</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Galaxy II</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Kamsarmax</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Uranus</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Kamsarmax</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Felicity I</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Kamsarmax</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Navios Primavera </w:t>
            </w:r>
            <w:r>
              <w:rPr>
                <w:rFonts w:ascii="Times New Roman" w:hAnsi="Times New Roman"/>
                <w:color w:val="000000"/>
                <w:sz w:val="13"/>
              </w:rPr>
              <w:t>(1)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Kamsarmax</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Navios Meridian </w:t>
            </w:r>
            <w:r>
              <w:rPr>
                <w:rFonts w:ascii="Times New Roman" w:hAnsi="Times New Roman"/>
                <w:color w:val="000000"/>
                <w:sz w:val="13"/>
              </w:rPr>
              <w:t>(1)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Kamsarmax</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Navios Herakles I </w:t>
            </w:r>
            <w:r>
              <w:rPr>
                <w:rFonts w:ascii="Times New Roman" w:hAnsi="Times New Roman"/>
                <w:color w:val="000000"/>
                <w:sz w:val="13"/>
              </w:rPr>
              <w:t>(2)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Kamsarmax</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Magellan II</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Kamsarmax</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Navios Sky </w:t>
            </w:r>
            <w:r>
              <w:rPr>
                <w:rFonts w:ascii="Times New Roman" w:hAnsi="Times New Roman"/>
                <w:color w:val="000000"/>
                <w:sz w:val="13"/>
              </w:rPr>
              <w:t>(1)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Kamsarmax</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Navios Alegria </w:t>
            </w:r>
            <w:r>
              <w:rPr>
                <w:rFonts w:ascii="Times New Roman" w:hAnsi="Times New Roman"/>
                <w:color w:val="000000"/>
                <w:sz w:val="13"/>
              </w:rPr>
              <w:t>(5)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Kamsarmax</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Sphera</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Kamsarmax</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Coral</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Kamsarmax</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Navios Stellar </w:t>
            </w:r>
            <w:r>
              <w:rPr>
                <w:rFonts w:ascii="Times New Roman" w:hAnsi="Times New Roman"/>
                <w:color w:val="000000"/>
                <w:sz w:val="13"/>
              </w:rPr>
              <w:t>(1)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Antares</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Aurora II</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Symphony</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Navios Ace </w:t>
            </w:r>
            <w:r>
              <w:rPr>
                <w:rFonts w:ascii="Times New Roman" w:hAnsi="Times New Roman"/>
                <w:color w:val="000000"/>
                <w:sz w:val="13"/>
              </w:rPr>
              <w:t>(1)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Buena Ventura</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Aster</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Melodia</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Luz</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Navios Azimuth </w:t>
            </w:r>
            <w:r>
              <w:rPr>
                <w:rFonts w:ascii="Times New Roman" w:hAnsi="Times New Roman"/>
                <w:color w:val="000000"/>
                <w:sz w:val="13"/>
              </w:rPr>
              <w:t>(1)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Etoile</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Bonheur</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Fulvia</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Altamira</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Navios Ray </w:t>
            </w:r>
            <w:r>
              <w:rPr>
                <w:rFonts w:ascii="Times New Roman" w:hAnsi="Times New Roman"/>
                <w:color w:val="000000"/>
                <w:sz w:val="13"/>
              </w:rPr>
              <w:t>(1)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Happiness</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Navios Bonavis </w:t>
            </w:r>
            <w:r>
              <w:rPr>
                <w:rFonts w:ascii="Times New Roman" w:hAnsi="Times New Roman"/>
                <w:color w:val="000000"/>
                <w:sz w:val="13"/>
              </w:rPr>
              <w:t>(1)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Fantastiks</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Phoenix</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Navios Sol </w:t>
            </w:r>
            <w:r>
              <w:rPr>
                <w:rFonts w:ascii="Times New Roman" w:hAnsi="Times New Roman"/>
                <w:color w:val="000000"/>
                <w:sz w:val="13"/>
              </w:rPr>
              <w:t>(1)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649" w:type="dxa"/>
        <w:jc w:val="left"/>
        <w:tblInd w:w="0" w:type="dxa"/>
        <w:tblLayout w:type="fixed"/>
        <w:tblCellMar>
          <w:top w:w="28" w:type="dxa"/>
          <w:left w:w="28" w:type="dxa"/>
          <w:bottom w:w="28" w:type="dxa"/>
          <w:right w:w="28" w:type="dxa"/>
        </w:tblCellMar>
      </w:tblPr>
      <w:tblGrid>
        <w:gridCol w:w="1726"/>
        <w:gridCol w:w="146"/>
        <w:gridCol w:w="841"/>
        <w:gridCol w:w="146"/>
        <w:gridCol w:w="526"/>
        <w:gridCol w:w="146"/>
        <w:gridCol w:w="146"/>
        <w:gridCol w:w="781"/>
        <w:gridCol w:w="191"/>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Navios Lumen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Canary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Navios Pollux </w:t>
            </w:r>
            <w:r>
              <w:rPr>
                <w:rFonts w:ascii="Times New Roman" w:hAnsi="Times New Roman"/>
                <w:color w:val="000000"/>
                <w:sz w:val="13"/>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Corali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Gem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Joy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Navios Felix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Mars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Koyo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Navios Azalea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Navios Armonia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Navios Altair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Navios Sakura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Navios Amethyst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Navios Astra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3906" w:type="dxa"/>
        <w:jc w:val="left"/>
        <w:tblInd w:w="0" w:type="dxa"/>
        <w:tblLayout w:type="fixed"/>
        <w:tblCellMar>
          <w:top w:w="28" w:type="dxa"/>
          <w:left w:w="28" w:type="dxa"/>
          <w:bottom w:w="28" w:type="dxa"/>
          <w:right w:w="28" w:type="dxa"/>
        </w:tblCellMar>
      </w:tblPr>
      <w:tblGrid>
        <w:gridCol w:w="2026"/>
        <w:gridCol w:w="146"/>
        <w:gridCol w:w="526"/>
        <w:gridCol w:w="146"/>
        <w:gridCol w:w="177"/>
        <w:gridCol w:w="694"/>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Owned Containerships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Built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Capacity</w:t>
              <w:br/>
              <w:t>(TEU)</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Spectrum 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Fleur 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Ete 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Summer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Verano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Matson Lanai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Verde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Amarillo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Vermilion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Azure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Indigo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Domino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Matson Oahu</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Destiny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Devotion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Lapis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Dorado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Carmel 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Zim Baltimore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Bahamas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Miami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Navios Jasmine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Chrysalis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Nerine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Sparrow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Zim Eagle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Condor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Hawk 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Zim Falcon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Pelican 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Seagull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Zim Albatross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DP World Jeddah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DP World Jebel Ali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Hyundai Shanghai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Hyundai Tokyo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Hyundai Hongkong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Hyundai Singapore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Hyundai Busan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1846"/>
        <w:gridCol w:w="146"/>
        <w:gridCol w:w="526"/>
        <w:gridCol w:w="146"/>
        <w:gridCol w:w="146"/>
        <w:gridCol w:w="676"/>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HMM Ocean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HMM Sky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Cyan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Unison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Constellation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5924" w:type="dxa"/>
        <w:jc w:val="left"/>
        <w:tblInd w:w="0" w:type="dxa"/>
        <w:tblLayout w:type="fixed"/>
        <w:tblCellMar>
          <w:top w:w="28" w:type="dxa"/>
          <w:left w:w="28" w:type="dxa"/>
          <w:bottom w:w="28" w:type="dxa"/>
          <w:right w:w="28" w:type="dxa"/>
        </w:tblCellMar>
      </w:tblPr>
      <w:tblGrid>
        <w:gridCol w:w="2026"/>
        <w:gridCol w:w="146"/>
        <w:gridCol w:w="1816"/>
        <w:gridCol w:w="146"/>
        <w:gridCol w:w="526"/>
        <w:gridCol w:w="146"/>
        <w:gridCol w:w="146"/>
        <w:gridCol w:w="781"/>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Owned Tanker Vessels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Built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Capacity</w:t>
              <w:br/>
              <w:t>(DWT)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Hector 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MR1 Product Tanker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Nave Aquila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MR2 Product Tanker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Nave Atria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MR2 Product Tanker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Nave Ohana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MR2 Product Tanker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Nave Capella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MR2 Product Tanker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Nave Hina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MR2 Product Tanker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Nave Alderamin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MR2 Product Tanker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Nave Pyxis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MR2 Product Tanker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Nave Bellatrix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MR2 Product Tanker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Nave Orion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MR2 Product Tanker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Nave Titan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MR2 Product Tanker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Nave Jupiter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MR2 Product Tanker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Nave Velocity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MR2 Product Tanker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Nave Sextans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MR2 Product Tanker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Nave Luminosity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MR2 Product Tanker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Bougainville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MR2 Product Tanker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Nave Cetus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LR1 Product Tanker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Nave Ariadne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LR1 Product Tanker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Nave Rigel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LR1 Product Tanker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Nave Atropos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LR1 Product Tanker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Nave Cassiopeia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LR1 Product Tanker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Nave Cielo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LR1 Product Tanker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Nave Andromeda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LR1 Product Tanker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Nave Estella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LR1 Product Tanker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Nave Cosmos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Aframax / LR2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Nave Polaris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Aframax / LR2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Nave Photon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Aframax / LR2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Nave Dorado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Aframax / LR2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Nave Neutrino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Aframax / LR2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Nave Perseus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Aframax / LR2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Nave Amaryllis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Aframax / LR2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Nave Anthos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Aframax / LR2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Nave Orbit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Aframax / LR2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Nave Equator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Aframax / LR2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Nave Universe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VLCC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Nave Quasar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VLCC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Nave Synergy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VLCC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5129" w:type="dxa"/>
        <w:jc w:val="left"/>
        <w:tblInd w:w="0" w:type="dxa"/>
        <w:tblLayout w:type="fixed"/>
        <w:tblCellMar>
          <w:top w:w="28" w:type="dxa"/>
          <w:left w:w="28" w:type="dxa"/>
          <w:bottom w:w="28" w:type="dxa"/>
          <w:right w:w="28" w:type="dxa"/>
        </w:tblCellMar>
      </w:tblPr>
      <w:tblGrid>
        <w:gridCol w:w="1996"/>
        <w:gridCol w:w="146"/>
        <w:gridCol w:w="1051"/>
        <w:gridCol w:w="146"/>
        <w:gridCol w:w="526"/>
        <w:gridCol w:w="146"/>
        <w:gridCol w:w="146"/>
        <w:gridCol w:w="781"/>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Bareboat-in Vessels </w:t>
            </w:r>
            <w:r>
              <w:rPr>
                <w:rFonts w:ascii="Times New Roman" w:hAnsi="Times New Roman"/>
                <w:b/>
                <w:color w:val="000000"/>
                <w:sz w:val="13"/>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Built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Capacity</w:t>
              <w:br/>
              <w:t>(DWT)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Star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Kamsarmax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Amitie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Kamsarmax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Navios Libra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Kamsarmax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Nave Electron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VLCC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Nave Celeste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VLCC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Nave Allegro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VLCC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Nave Tempo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VLCC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2836"/>
        <w:gridCol w:w="146"/>
        <w:gridCol w:w="841"/>
        <w:gridCol w:w="146"/>
        <w:gridCol w:w="886"/>
        <w:gridCol w:w="146"/>
        <w:gridCol w:w="146"/>
        <w:gridCol w:w="781"/>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Dry bulk Vessels to be Delivered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Expected</w:t>
              <w:br/>
              <w:t>Delivery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Capacity</w:t>
              <w:br/>
              <w:t>(DWT)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TBN XX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H2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TBN XXI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H1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TBN XXVIII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Capesize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H2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4956" w:type="dxa"/>
        <w:jc w:val="left"/>
        <w:tblInd w:w="0" w:type="dxa"/>
        <w:tblLayout w:type="fixed"/>
        <w:tblCellMar>
          <w:top w:w="28" w:type="dxa"/>
          <w:left w:w="28" w:type="dxa"/>
          <w:bottom w:w="28" w:type="dxa"/>
          <w:right w:w="28" w:type="dxa"/>
        </w:tblCellMar>
      </w:tblPr>
      <w:tblGrid>
        <w:gridCol w:w="2716"/>
        <w:gridCol w:w="146"/>
        <w:gridCol w:w="886"/>
        <w:gridCol w:w="146"/>
        <w:gridCol w:w="177"/>
        <w:gridCol w:w="694"/>
        <w:gridCol w:w="19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Containerships to be Delivered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Expected</w:t>
              <w:br/>
              <w:t>Delivery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Capacity</w:t>
              <w:br/>
              <w:t>(TEU)</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TBN XI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TBN XII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TBN XIII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H1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TBN XVI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H2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TBN XVII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H2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TBN XVIII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H2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TBN XIX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H1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6974" w:type="dxa"/>
        <w:jc w:val="left"/>
        <w:tblInd w:w="0" w:type="dxa"/>
        <w:tblLayout w:type="fixed"/>
        <w:tblCellMar>
          <w:top w:w="28" w:type="dxa"/>
          <w:left w:w="28" w:type="dxa"/>
          <w:bottom w:w="28" w:type="dxa"/>
          <w:right w:w="28" w:type="dxa"/>
        </w:tblCellMar>
      </w:tblPr>
      <w:tblGrid>
        <w:gridCol w:w="2716"/>
        <w:gridCol w:w="146"/>
        <w:gridCol w:w="1816"/>
        <w:gridCol w:w="146"/>
        <w:gridCol w:w="886"/>
        <w:gridCol w:w="146"/>
        <w:gridCol w:w="146"/>
        <w:gridCol w:w="781"/>
        <w:gridCol w:w="19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Tanker Vessels to be Delivered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Expected</w:t>
              <w:br/>
              <w:t>Delivery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Capacity</w:t>
              <w:br/>
              <w:t>(DWT)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TBN I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MR2 Product Tanker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TBN II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MR2 Product Tanker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TBN III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MR2 Product Tanker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H1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TBN IV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MR2 Product Tanker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H1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TBN 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Aframax/LR2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H1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TBN VI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Aframax/LR2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H1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TBN VII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Aframax/LR2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H1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TBN XIV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Aframax/LR2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H1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TBN XV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Aframax/LR2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H1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TBN VIII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Aframax/LR2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H2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TBN IX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Aframax/LR2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H2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TBN 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Aframax/LR2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H1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TBN XXII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VLCC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H1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TBN XXIII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VLCC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H2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TBN XXIV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VLCC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H2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TBN XXV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VLCC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H2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TBN XXVI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VLCC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H2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TBN XXVII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VLCC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H1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TBN XXIX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VLCC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H2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vessel is subject to a sale and leaseback transaction with a purchase obligation at the end of the contract.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vessel is subject to a bareboat contract with a purchase option at the end of the contract.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Vessel agreed to be sold.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vessel is subject to a bareboat contract with a purchase obligation at the end of the contract.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vessel is subject to a sale and leaseback transaction with a purchase option at the end of the contract.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vessels have been classified as operating leases in the Company’s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vessel was delivered into Company’s fleet, following the declaration of the option to acquire the vessel.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Charters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provide seaborne shipping services under short-term, medium-term, and long-term time charters, bareboat charters and voyage charters with customers that we believe are creditworthy. For the six month periods ended June 30, 2026 and 2025, only one customer accounted for 10.0% or more of our total revenues and represented approximately 12.8% and 15.5%, respectively, of our total revenues.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revenues are driven by the number of vessels in the fleet, the number of days during which the vessels operate and our charter hire rates, which, in turn, are affected by a number of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duration of the charters;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level of spot and long-term market rates at the time of each charter;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decisions relating to vessel acquisitions and disposals;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amount of time spent positioning vessels;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amount of time that vessels spend off-hire or in drydock undergoing repairs and upgrades;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age, condition and specifications of the vessels;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aggregate level of supply and demand in the liquid, dry and containerized cargo shipping industry;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economic conditions, such as the impact of inflationary cost pressures, decreased consumer discretionary spending, increasing interest rates, and the possibility of recession or financial market instability or imposition of sanctions, tariffs or other fees affecting trade or vessel movements;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armed conflicts, such as the continuing Ukrainian and Middle East military conflicts, including in the Persian Gulf and the Strait of Hormuz.</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Time charters are available for varying periods, ranging from a single trip (spot charter) to long-term which may be many years. In general, a long-term time charter assures the vessel owner of a consistent stream of revenue. Operating the vessel in the spot market affords the owner greater spot market opportunity, which may result in high rates when vessels are in high demand or low rates when vessel availability exceeds demand. We intend to operate our vessels in the long-term charter market. Vessel charter rates are affected by world economics, international events, weather conditions, strikes, governmental policies, supply and demand and many other factors that might be beyond our control. Please read the section entitled “Risk Factors” in our Annual Report for a discussion of certain risks inherent in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could lose a customer or the benefits of a charter if: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customer fails to make charter payments because of its financial inability, disagreements with us or otherwise;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customer exercises certain rights to terminate the charter of the vessel;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customer terminates the charter because we fail to deliver the vessel within a fixed period of time, the vessel is lost or damaged beyond repair, there are serious deficiencies in the vessel or prolonged periods of off-hire, or we default under the charter;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prolonged force majeure event affecting the customer, including damage to or destruction of relevant production or end-use facilities or political unrest prevents us from performing services for that customer.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some of our time charters, either party may terminate the charter contract in the event of war in specified countries or in locations that would significantly disrupt the free trade of the vessel. Some of the time charters covering our vessels require us to return to the charterer, upon the loss of the vessel, all advances paid by the charterer but not earned by us.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Trends and Factors Affecting Our Future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the principal factors that will affect our future results of operations are the economic, regulatory, political and governmental conditions that affect the shipping industry generally and that affect conditions in countries and markets in which our vessels engage in business. Please read “Risk Factors” in our Annual Report for a discussion of certain risks inherent in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reflects certain key indicators of Navios Partners’ fleet performance for the three and six month periods ended June 30, 2026 and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14"/>
        <w:gridCol w:w="146"/>
        <w:gridCol w:w="502"/>
        <w:gridCol w:w="1353"/>
        <w:gridCol w:w="271"/>
        <w:gridCol w:w="146"/>
        <w:gridCol w:w="502"/>
        <w:gridCol w:w="1353"/>
        <w:gridCol w:w="271"/>
        <w:gridCol w:w="146"/>
        <w:gridCol w:w="413"/>
        <w:gridCol w:w="1068"/>
        <w:gridCol w:w="271"/>
        <w:gridCol w:w="146"/>
        <w:gridCol w:w="413"/>
        <w:gridCol w:w="1068"/>
        <w:gridCol w:w="322"/>
      </w:tblGrid>
      <w:tr>
        <w:trPr/>
        <w:tc>
          <w:tcPr>
            <w:tcW w:w="1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 Period Ended June 30, 2026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 Period Ended June 30, 2025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 </w:t>
              <w:br/>
              <w:t>Period Ended June 30, 2026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 </w:t>
              <w:br/>
              <w:t>Period Ended June 30, 2025</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Available Days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26,844</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Days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26,645</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Fleet Utilization</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Opex Days</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27,289</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Time Charter Equivalent rate (per day)</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22,154</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Opex rate (per day)</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Vessels operating at end of periods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Available days for the fleet represent total calendar days the vessels were in Navios Partners’ possession for the relevant period after subtracting off-hire days associated with scheduled repairs, drydockings or special surveys and ballast days. The shipping industry uses available days to measure the number of days in a relevant period during which a vessel is capable of generating revenues.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Operating days are the number of available days in the relevant period less the aggregate number of days that the vessels were off-hire due to any reason, including unforeseen circumstances. The shipping industry uses operating days to measure the aggregate number of days in a relevant period during which vessels actually generate revenues.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Fleet utilization is the percentage of time that Navios Partners’ vessels were available for generating revenue, and is determined by dividing the number of operating days during a relevant period by the number of available days during that period. The shipping industry uses fleet utilization to measure efficiency in finding employment for vessels and minimizing the amount of days that its vessels were off-hire for reasons other than scheduled repairs, drydockings or special surveys.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pPr>
      <w:r>
        <w:rPr>
          <w:rFonts w:ascii="Times New Roman" w:hAnsi="Times New Roman"/>
          <w:color w:val="000000"/>
          <w:sz w:val="20"/>
        </w:rPr>
        <w:t>Opex days for the fleet</w:t>
      </w:r>
      <w:r>
        <w:rPr>
          <w:color w:val="000000"/>
        </w:rPr>
        <w:t xml:space="preserve"> </w:t>
      </w:r>
      <w:r>
        <w:rPr>
          <w:rFonts w:ascii="Times New Roman" w:hAnsi="Times New Roman"/>
          <w:color w:val="000000"/>
          <w:sz w:val="20"/>
        </w:rPr>
        <w:t>represent total calendar days the vessels were in Navios Partners’ possession for the relevant period after subtracting total calendar days of Navios Partners’ charter-in vessels and bareboat-out vessels.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Time Charter Equivalent rate (“TCE rate”) per day is defined as voyage, time charter revenues and charter-out revenues under bareboat contracts (grossed up by the applicable vessel operating expenses for the respective periods) less voyage expenses during a period divided by the number of available days during the period. The TCE rate per day is a customary shipping industry performance measure used primarily to present the actual daily earnings generated by vessels on various types of charter contracts for the number of available days of the fleet.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Opex rate per day is defined as vessel operating expenses divided by the number of opex days during the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FINANCIAL HIGHLIGHTS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presents consolidated revenue and expense information for the three and six month periods ended June 30, 2026 and 2025.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04"/>
        <w:gridCol w:w="146"/>
        <w:gridCol w:w="413"/>
        <w:gridCol w:w="1497"/>
        <w:gridCol w:w="166"/>
        <w:gridCol w:w="146"/>
        <w:gridCol w:w="413"/>
        <w:gridCol w:w="1497"/>
        <w:gridCol w:w="166"/>
        <w:gridCol w:w="146"/>
        <w:gridCol w:w="309"/>
        <w:gridCol w:w="1233"/>
        <w:gridCol w:w="166"/>
        <w:gridCol w:w="146"/>
        <w:gridCol w:w="309"/>
        <w:gridCol w:w="1233"/>
        <w:gridCol w:w="215"/>
      </w:tblGrid>
      <w:tr>
        <w:trPr/>
        <w:tc>
          <w:tcPr>
            <w:tcW w:w="2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0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 Period Ended June 30, 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 Period Ended June 30, 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 </w:t>
              <w:br/>
              <w:t>Period Ended June 30, 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 </w:t>
              <w:br/>
              <w:t>Period Ended June 30, 2025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of U.S. dollars)</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charter and voyage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631,670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charter and voyage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Vessel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(192,246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(45,394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(159,430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unfavorable lease terms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(loss) on sale of vessels,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and finance cost,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(66,995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69,947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274,263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111,674</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EBITDA</w:t>
            </w:r>
            <w:r>
              <w:rPr>
                <w:rFonts w:ascii="Times New Roman" w:hAnsi="Times New Roman"/>
                <w:b/>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487,847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325,844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Adjusted EBITDA</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446,311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326,173</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Operating Surplus </w:t>
            </w:r>
            <w:r>
              <w:rPr>
                <w:rFonts w:ascii="Times New Roman" w:hAnsi="Times New Roman"/>
                <w:b/>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133,432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67,208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234,022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114,296</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EBITDA, Adjusted EBITDA and Operating Surplus are non-GAAP financial measures. See “Reconciliation of EBITDA and Adjusted EBITDA to Net Cash from Operating Activities, EBITDA and Operating Surplus” for a description of EBITDA, Adjusted EBITDA and Operating Surplus and a reconciliation of EBITDA, Adjusted EBITDA and Operating Surplus to the most comparable measure under U.S. GAAP.</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Period over Period Comparisons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For the Three Month Period ended June 30, 2026 compared to the Three Month Period ended June 30, 2025</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Time charter and voyage revenues: </w:t>
      </w:r>
      <w:r>
        <w:rPr>
          <w:rFonts w:ascii="Times New Roman" w:hAnsi="Times New Roman"/>
          <w:color w:val="000000"/>
          <w:sz w:val="20"/>
        </w:rPr>
        <w:t>Time charter and voyage revenues for the three month period ended June 30, 2026 increased by $82.6 million, or 25.2%, to $410.2 million, as compared to $327.6 million for the same period in 2025. The increase in revenue was mainly attributable to the increase in the TCE rate. For the three month periods ended June 30, 2026 and 2025, time charter and voyage revenues were positively affected by $2.7 million and $6.5 million, respectively, relating to the straight-line effect of the charters with de-escalating rates. The TCE rate increased by 23.8% to $28,512 per day, as compared to $23,040 per day for the same period in 2025. The available days of the fleet decreased by 1.8% to 13,152 days for the three month period ended June 30, 2026, as compared to 13,388 days for the same period in 2025.</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Time charter and voyage expenses: </w:t>
      </w:r>
      <w:r>
        <w:rPr>
          <w:rFonts w:ascii="Times New Roman" w:hAnsi="Times New Roman"/>
          <w:color w:val="000000"/>
          <w:sz w:val="20"/>
        </w:rPr>
        <w:t xml:space="preserve">Time charter and voyage expenses for the three month period ended June 30, 2026 increased by $14.4 million to $45.6 million, as compared to $31.2 million for the same period in 2025. The increase was attributable to a: (i) $10.2 million increase in other voyage expenses, primarily reflecting additional insurance premiums, reimbursed by charterers; (ii) $2.3 million increase in bunker expenses arising from the increased days of freight voyages in the second quarter of 2026; (iii) $0.8 million increase in commercial management fees on revenues in accordance with the management agreement; (iv) $0.7 million increase in brokers’ commissions; and (v) $0.4 million increase in port expenses. </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Vessel operating expenses: </w:t>
      </w:r>
      <w:r>
        <w:rPr>
          <w:rFonts w:ascii="Times New Roman" w:hAnsi="Times New Roman"/>
          <w:color w:val="000000"/>
          <w:sz w:val="20"/>
        </w:rPr>
        <w:t>Vessel operating expenses for the three month period ended June 30, 2026 decreased by $1.9 million to $95.5 million, as compared to $97.4 million for the same period in 2025. The decrease was due to a 2.5% decrease in the opex days, partially mitigated by an increase of 0.6% in the opex daily rate to $7,152.</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General and administrative expenses: </w:t>
      </w:r>
      <w:r>
        <w:rPr>
          <w:rFonts w:ascii="Times New Roman" w:hAnsi="Times New Roman"/>
          <w:color w:val="000000"/>
          <w:sz w:val="20"/>
        </w:rPr>
        <w:t>General and administrative expenses increased by $1.0 million to $24.4 million for the three month period ended June 30, 2026, as compared to $23.4 million for the same period in 2025, mainly due to the increase in legal and professional fees and other administrative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Depreciation and amortization: </w:t>
      </w:r>
      <w:r>
        <w:rPr>
          <w:rFonts w:ascii="Times New Roman" w:hAnsi="Times New Roman"/>
          <w:color w:val="000000"/>
          <w:sz w:val="20"/>
        </w:rPr>
        <w:t>Depreciation and amortization amounted to $83.0 million for the three month period ended June 30, 2026, as compared to $80.8 million for the same period in 2025. The increase of $2.2 million was attributable to a: (i) $4.8 million increase in amortization of the deferred drydock and special survey costs due to the increase in the number of vessels that underwent drydocking or special survey; (ii) $3.5 million increase in depreciation expense due to the delivery of eight vessels and the acquisition of four vessels since the second quarter of 2025; and (iii) $0.4 million increase in depreciation expense mainly due to vessel improvements. The above increase was partially mitigated by a: (i) $3.8 million decrease in depreciation expense due to the sale of 14 vessels since the second quarter of 2025; and (ii) $2.7 million decrease in amortization of favorable lease terms of intangible assets. Depreciation of vessels is calculated using an estimated useful life of 25 years for dry bulk and tanker vessels and 30 years for containerships from the date the vessel was originally delivered from the shipyard.</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Amortization of unfavorable lease terms: </w:t>
      </w:r>
      <w:r>
        <w:rPr>
          <w:rFonts w:ascii="Times New Roman" w:hAnsi="Times New Roman"/>
          <w:color w:val="000000"/>
          <w:sz w:val="20"/>
        </w:rPr>
        <w:t>Amortization of unfavorable lease terms amounted to $0.9 million and $2.9 million for the three month periods ended June 30, 2026 and 2025, respectively, relating to the amortization of the fair value of the time charters with unfavorable lease terms as determined at the acquisition date of Navios Maritime Containers L.P. (“Navios Containers”).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Gain/ (loss) on sale of vessels, net: </w:t>
      </w:r>
      <w:r>
        <w:rPr>
          <w:rFonts w:ascii="Times New Roman" w:hAnsi="Times New Roman"/>
          <w:color w:val="000000"/>
          <w:sz w:val="20"/>
        </w:rPr>
        <w:t>Gain on sale of vessels amounted to $33.0 million for the three month period ended June 30, 2026, relating to the sale of our vessels. Gain on sale of vessels, net amounted to $5.6 million for the three month period ended June 30, 2025, relating to the sale of our vessels, including one vessel classified as held for sale.</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Interest expense and finance cost, net: </w:t>
      </w:r>
      <w:r>
        <w:rPr>
          <w:rFonts w:ascii="Times New Roman" w:hAnsi="Times New Roman"/>
          <w:color w:val="000000"/>
          <w:sz w:val="20"/>
        </w:rPr>
        <w:t>Interest expense and finance cost, net for the three month period ended June 30, 2026, decreased by $4.2 million to $29.3 million, as compared to $33.5 million for the same period in 2025. The decrease was mainly due to the decrease in the weighted average interest rate. The weighted average interest rate for the three month period ended June 30, 2026 decreased to 5.6% from 6.3% for the same period in 2025, while Navios Partners’ weighted average loan balance increased to $2,243.8 million for the three month period ended June 30, 2026, as compared to $2,194.0 million for the same period in 2025.</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Interest income: </w:t>
      </w:r>
      <w:r>
        <w:rPr>
          <w:rFonts w:ascii="Times New Roman" w:hAnsi="Times New Roman"/>
          <w:color w:val="000000"/>
          <w:sz w:val="20"/>
        </w:rPr>
        <w:t>Interest income amounted to $4.1 million for the three month period ended June 30, 2026, as compared to $3.1 million for the same period in 2025, mainly due to the increase of interest income from time deposits.</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Other expense, net: </w:t>
      </w:r>
      <w:r>
        <w:rPr>
          <w:rFonts w:ascii="Times New Roman" w:hAnsi="Times New Roman"/>
          <w:color w:val="000000"/>
          <w:sz w:val="20"/>
        </w:rPr>
        <w:t>Other expense, net amounted to $2.4 million for the three month period ended June 30, 2026, as compared to $2.9 million for the same period in 2025, mainly due to the decrease in other miscellaneous expenses, net, partially mitigated by the increase in claims.</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Net income: </w:t>
      </w:r>
      <w:r>
        <w:rPr>
          <w:rFonts w:ascii="Times New Roman" w:hAnsi="Times New Roman"/>
          <w:color w:val="000000"/>
          <w:sz w:val="20"/>
        </w:rPr>
        <w:t>Net income for the three month period ended June 30, 2026 amounted to $167.9 million as compared to $69.9 million for the same period in 2025. The increase in net income of $98.0 million was due to the factors discussed above.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For the Six Month Period ended June 30, 2026 compared to the Six Month Period ended June 30, 2025</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Time charter and voyage revenues: </w:t>
      </w:r>
      <w:r>
        <w:rPr>
          <w:rFonts w:ascii="Times New Roman" w:hAnsi="Times New Roman"/>
          <w:color w:val="000000"/>
          <w:sz w:val="20"/>
        </w:rPr>
        <w:t>Time charter and voyage revenues for the six month period ended June 30, 2026 increased by $135.5 million, or 21.5%, to $767.2 million, as compared to $631.7 million for the same period in 2025. The increase in revenue was mainly attributable to the increase in the TCE rate. For the six month periods ended June 30, 2026 and 2025, time charter and voyage revenues were positively affected by $10.2 million and $3.9 million, respectively, relating to the straight-line effect of the charters with de-escalating rates. The TCE rate increased by 22.3% to $27,098 per day, as compared to $22,154 per day for the same period in 2025. The available days of the fleet decreased by 2.2% to 26,256 days for the six month period ended June 30, 2026, as compared to 26,844 days for the same period in 2025.</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Time charter and voyage expenses: </w:t>
      </w:r>
      <w:r>
        <w:rPr>
          <w:rFonts w:ascii="Times New Roman" w:hAnsi="Times New Roman"/>
          <w:color w:val="000000"/>
          <w:sz w:val="20"/>
        </w:rPr>
        <w:t>Time charter and voyage expenses for the six month period ended June 30, 2026 increased by $15.4 million to $76.6 million, as compared to $61.2 million for the same period in 2025. The increase was attributable to a: (i) $9.4 million increase in other voyage expenses, primarily reflecting additional insurance premiums, reimbursed by charterers; (ii) $2.4 million increase in bunker expenses arising from the increased days of freight voyages in the first half of 2026; (iii) $1.3 million increase in commercial management fees on revenues in accordance with the management agreement; (iv) $1.2 million increase in port expenses; and (v) $1.1 million increase in brokers’ commissions.</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Vessel operating expenses: </w:t>
      </w:r>
      <w:r>
        <w:rPr>
          <w:rFonts w:ascii="Times New Roman" w:hAnsi="Times New Roman"/>
          <w:color w:val="000000"/>
          <w:sz w:val="20"/>
        </w:rPr>
        <w:t>Vessel operating expenses for the six month period ended June 30, 2026 decreased by $1.7 million to $190.5 million, as compared to $192.2 million for the same period in 2025. The decrease was due to a 2.7% decrease in the opex days, partially mitigated by a 1.8% increase in the opex daily rate to $7,174.</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General and administrative expenses: </w:t>
      </w:r>
      <w:r>
        <w:rPr>
          <w:rFonts w:ascii="Times New Roman" w:hAnsi="Times New Roman"/>
          <w:color w:val="000000"/>
          <w:sz w:val="20"/>
        </w:rPr>
        <w:t xml:space="preserve">General and administrative expenses increased by $2.8 million to $48.2 million for the six month period ended June 30, 2026, as compared to $45.4 million for the same period in 2025, mainly due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higher euro-dollar exchange rate prevailing during the first half of 2026 as well as the increase in legal and professional fees, audit fees and other administrative expenses.</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Depreciation and amortization: </w:t>
      </w:r>
      <w:r>
        <w:rPr>
          <w:rFonts w:ascii="Times New Roman" w:hAnsi="Times New Roman"/>
          <w:color w:val="000000"/>
          <w:sz w:val="20"/>
        </w:rPr>
        <w:t>Depreciation and amortization amounted to $164.6 million for the six month period ended June 30, 2026, as compared to $159.4 million for the same period in 2025. The increase of $5.2 million was attributable to a: (i) $10.6 million increase in amortization of the deferred drydock and special survey costs due to the increase in the number of vessels that underwent drydocking or special survey; (ii) $6.6 million increase in depreciation expense due to the delivery of 11 vessels and the acquisition of four vessels in 2025 and during the first half of 2026; and (iii) $1.0 million increase in depreciation expense mainly due to vessel improvements. The above increase was partially mitigated by a: (i) $7.4 million decrease in depreciation expense due to the sale of 15 vessels in 2025 and during the first half of 2026; and (ii) $5.6 million decrease in amortization of favorable lease terms of intangible assets. Depreciation of vessels is calculated using an estimated useful life of 25 years for dry bulk and tanker vessels and 30 years for containerships from the date the vessel was originally delivered from the shipyard.</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Amortization of unfavorable lease terms: </w:t>
      </w:r>
      <w:r>
        <w:rPr>
          <w:rFonts w:ascii="Times New Roman" w:hAnsi="Times New Roman"/>
          <w:color w:val="000000"/>
          <w:sz w:val="20"/>
        </w:rPr>
        <w:t>Amortization of unfavorable lease terms amounted to $3.6 million and $5.8 million for the six month periods ended June 30, 2026 and 2025, respectively, relating to the amortization of the fair value of the time charters with unfavorable lease terms as determined at the acquisition date of Navios Containers.</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Gain/ (loss) on sale of vessels, net: </w:t>
      </w:r>
      <w:r>
        <w:rPr>
          <w:rFonts w:ascii="Times New Roman" w:hAnsi="Times New Roman"/>
          <w:color w:val="000000"/>
          <w:sz w:val="20"/>
        </w:rPr>
        <w:t>Gain on sale of vessels, net amounted to $41.5 million for the six month period ended June 30, 2026, relating to the sale of our vessels. Loss on sale of vessels, net amounted to $0.3 million for the six month period ended June 30, 2025, relating to the sale of our vessels, including one vessel classified as held for sale.</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Interest expense and finance cost, net: </w:t>
      </w:r>
      <w:r>
        <w:rPr>
          <w:rFonts w:ascii="Times New Roman" w:hAnsi="Times New Roman"/>
          <w:color w:val="000000"/>
          <w:sz w:val="20"/>
        </w:rPr>
        <w:t>Interest expense and finance cost, net for the six month period ended June 30, 2026, decreased by $7.1 million to $59.9 million, as compared to $67.0 million for the same period in 2025. The decrease was mainly due to the decrease in the weighted average interest rate. The weighted average interest rate for the six month period ended June 30, 2026 decreased to 5.7% from 6.3% for the same period in 2025, while Navios Partners’ weighted average loan balance increased to $2,219.8 million for the six month period ended June 30, 2026, as compared to $2,197.3 million for the same period in 2025.</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Interest income: </w:t>
      </w:r>
      <w:r>
        <w:rPr>
          <w:rFonts w:ascii="Times New Roman" w:hAnsi="Times New Roman"/>
          <w:color w:val="000000"/>
          <w:sz w:val="20"/>
        </w:rPr>
        <w:t>Interest income amounted to $7.4 million for the six month period ended June 30, 2026, as compared to $6.5 million for the same period in 2025, mainly due to the increase of interest income from time deposits.</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Other expense, net: </w:t>
      </w:r>
      <w:r>
        <w:rPr>
          <w:rFonts w:ascii="Times New Roman" w:hAnsi="Times New Roman"/>
          <w:color w:val="000000"/>
          <w:sz w:val="20"/>
        </w:rPr>
        <w:t>Other expense, net amounted to $5.5 million for the six month period ended June 30, 2026, as compared to $6.6 million for the same period in 2025, mainly due to the decrease in other miscellaneous expenses, net, partially mitigated by the increase in claims.</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Net income: </w:t>
      </w:r>
      <w:r>
        <w:rPr>
          <w:rFonts w:ascii="Times New Roman" w:hAnsi="Times New Roman"/>
          <w:color w:val="000000"/>
          <w:sz w:val="20"/>
        </w:rPr>
        <w:t>Net income for the six month period ended June 30, 2026 amounted to $274.3 million as compared to $111.7 million for the same period in 2025. The increase in net income of $162.6 million was due to the factors discussed above.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 off-balance sheet arrangements that have or are reasonably likely to have, a current or future material effect on our financial condition, results of operations, liquidity, capital expenditures or capital resources.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anticipate that our primary sources of funds for our short-term liquidity needs will consist of cash flows from operations, our equity offerings, proceeds from asset sales, long-term bank borrowings and other debt raisings. In addition to distributions on our units and common unit repurchase program, our primary short-term liquidity needs are to fund general working capital requirements, cash reserve requirements including those under our credit facilities and debt service, while our long-term liquidity needs primarily relate to expansion and investment capital expenditures and maintenance capital expenditures and debt repayment. As of June 30, 2026, Navios Partners’ current assets totaled $602.3 million, while current liabilities totaled $393.5 million, resulting in a positive working capital position of $208.8 million. Navios Partners’ cash forecast indicates that it will generate sufficient cash through its contracted revenue as of August 20, 2026, of $4.4 billion (including one vessel that is currently under advanced discussions with a charterer), cash proceeds from the sale of vessels (see Note 4 – Vessels, net and Note 15 – Subsequent events to the unaudited condensed consolidated financial statements included elsewhere in this report) and undrawn amounts available under credit facilities to make the required principal and interest payments on its indebtedness, to make payments for capital expenditures and provide for the normal working capital requirements of the business for a period of at least 12 months from the date of issuance of our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Generally, our long-term sources of funds for acquisitions and expansion and investment capital expenditures derive from cash from operations, long-term bank borrowings and other debt or equity financings. We cannot assure you that we will be able to secure adequate financing or to obtain additional funds on favorable terms, to meet our liquidity needs.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deposits and cash equivalents in excess of amounts covered by government-provided insurance are exposed to loss in the event of non-performance by financial institutions. Navios Partners does maintain cash deposits and cash equivalents in excess of government-provided insurance limits. Navios Partners also mitigates exposure to credit risk by dealing with a diversified group of major financial institutions.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Navios Partners may use funds to repurchase its outstanding common units and/or repay indebtedness from time to time. Repurchases may be made in the open market, or through privately negotiated transactions or otherwise, in compliance with applicable laws, rules and regulations, at prices and on terms Navios Partners deems appropriate and subject to its cash requirements for other purposes, compliance with the covenants under Navios Partners’ credit facilities, bonds and other financing agreements, and other factors management deems relevant.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previously discussed, the Board of Directors of Navios Partners has authorized a new common unit repurchase program for up to $200.0 million that is expected to become effective in the third quarter of 2026. As of August 20, 2026, Navios Partners had repurchased 1,880,880 common units under its previously authorized $100.0 million common unit repurchase program, for a total cost of approximately $92.6 million. Upon termination of the previously authorized common unit repurchase program in August 2026, the remaining availability was added to the Company’s newly authorized common unit repurchase program, resulting in the aggregate repurchase authorization of up to $207.4 million. Common unit repurchases will be made from time to time for cash in open market transactions at prevailing market prices or in privately negotiated transactions. The timing and amount of repurchases under the program will be determined by Navios Partners’ management based upon market conditions and financial and other considerations, including working capital and planned or anticipated growth opportunities. The program does not require any minimum repurchase or any specific number of common units and may be suspended or reinstated at any time in Navios Partners’ discretion and without notice. The Board of Directors will review the program periodically.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cash flow information derived from the unaudited condensed Consolidated Statements of Cash Flows of Navios Partners for the six month periods ended June 30, 2026 and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961"/>
        <w:gridCol w:w="146"/>
        <w:gridCol w:w="458"/>
        <w:gridCol w:w="1828"/>
        <w:gridCol w:w="166"/>
        <w:gridCol w:w="146"/>
        <w:gridCol w:w="458"/>
        <w:gridCol w:w="1828"/>
        <w:gridCol w:w="214"/>
      </w:tblGrid>
      <w:tr>
        <w:trPr/>
        <w:tc>
          <w:tcPr>
            <w:tcW w:w="4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 </w:t>
              <w:br/>
              <w:t>Period Ended June 30, 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 </w:t>
              <w:br/>
              <w:t>Period Ended June 30, 2025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of U.S. dollars)</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278,180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(268,650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68,304</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(50,156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77,834</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Net cash provided by operating activities for the six month period ended June 30, 2026 as compared to the net cash provided by operating activities for the six month period ended June 30,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provided by operating activities increased by $35.1 million to $313.3 million for the six month period ended June 30, 2026, as compared to $278.2 million for the same period in 2025. In determining net cash provided by operating activities, net income is adjusted for the effects of certain non-cash items as discussed below.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aggregate adjustments to reconcile net income to net cash provided by operating activities were $110.5 million of non-cash positive net adjustments for the six month period ended June 30, 2026, which consisted of the following adjustments: (i) $164.6 million depreciation and amortization; and (ii) $3.8 million amortization and write-off of deferred finance costs and bond premium. These adjustments were partially mitigated by: (i) $41.5 million gain on sale of vessels, net; (ii) $12.4 million of other non-cash adjustments; (iii) $3.6 million amortization of unfavorable lease terms; and (iv) $0.4 million amortization of operating lease assets/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net cash outflow resulting from the change in operating assets and liabilities of $71.5 million for the six month period ended June 30, 2026 resulted from: (i) $45.5 million in payments for drydock and special survey costs; (ii) a $16.5 million increase in accounts receivable; (iii) a $14.8 million increase in prepaid expenses and other current assets; (iv) a $7.3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million decrease in accounts payable; and (v) a $3.5 million decrease in deferred revenue. This was partially mitigated by a: (i) $12.7 million increase in amounts due to related parties; and (ii) $3.4 million increase in accrued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aggregate adjustments to reconcile net income to net cash provided by operating activities were $152.7 million of non-cash positive net adjustments for the six month period ended June 30, 2025, which consisted of the following adjustments: (i) $159.4 million depreciation and amortization; (ii) $3.9 million amortization and write-off of deferred finance costs; and (iii) $0.3 million loss on sale of vessels, net. These adjustments were partially mitigated by: (i) $5.8 million amortization of unfavorable lease terms; (ii) $4.7 million of other non-cash adjustments; and (iii) $0.4 million amortization of operating lease assets/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net cash inflow resulting from the change in operating assets and liabilities of $13.8 million for the six month period ended June 30, 2025 resulted from a: (i) $39.5 million increase in amounts due to related parties; (ii) $35.0 million decrease in amounts due from related parties; (iii) $12.1 million decrease in accounts receivable; (iv) $5.1 million increase in accrued expenses; (v) $2.2 million decrease in prepaid expenses and other current assets; and (vi) $0.9 million increase in accounts payable. This was partially mitigated by: (i) $77.2 million in payments for drydock and special survey costs; and (ii) a $3.8 million decrease in deferred revenue.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Net cash used in investing activities for the six month period ended June 30, 2026 as compared to the net cash used in investing activities for the six month period ended June 30, 2025</w:t>
      </w:r>
    </w:p>
    <w:p>
      <w:pPr>
        <w:pStyle w:val="TextBody"/>
        <w:bidi w:val="0"/>
        <w:spacing w:before="120" w:after="283"/>
        <w:jc w:val="both"/>
        <w:rPr>
          <w:rFonts w:ascii="Times New Roman" w:hAnsi="Times New Roman"/>
          <w:color w:val="000000"/>
          <w:sz w:val="20"/>
        </w:rPr>
      </w:pPr>
      <w:bookmarkStart w:id="3" w:name="page16"/>
      <w:bookmarkEnd w:id="3"/>
      <w:r>
        <w:rPr>
          <w:rFonts w:ascii="Times New Roman" w:hAnsi="Times New Roman"/>
          <w:color w:val="000000"/>
          <w:sz w:val="20"/>
        </w:rPr>
        <w:t>Net cash used in investing activities for the six month period ended June 30, 2026 amounted to $451.2 million as compared to $268.7 million for the same period in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investing activities of $451.2 million for the six month period ended June 30, 2026 was mainly due to: (i) $254.2 million related to deposits for the acquisition/ option to acquire vessels and capitalized expenses; (ii) $214.0 million related to vessel acquisitions and additions; and (iii) a $106.0 million increase in time deposits with original maturities greater than three months. This was partially mitigated by $123.0 million of proceeds related to the sale of four vessels.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investing activities of $268.7 million for the six month period ended June 30, 2025 was mainly due to: (i) $193.4 million related to vessel acquisitions and additions; and (ii) $109.9 million related to deposits for the acquisition/ option to acquire vessels and capitalized expenses. This was partially mitigated by: (i) $33.7 million of proceeds related to the sale of three vessels; and (ii) a $0.9 million decrease in time deposits with original maturities greater than three months.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Net cash provided by financing activities for the six month period ended June 30, 2026 as compared to net cash provided by financing activities for the six month period ended June 30,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financing activities increased by $19.4 million to $87.7 million inflow for the six month period ended June 30, 2026, as compared to $68.3 million inflow for the same period in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cash provided by financing activities of $87.7 million for the six month period ended June 30, 2026 was mainly due to: (i) $292.9 million of proceeds from the credit facilities and sale and leaseback agreements; and (ii) $30.8 million of proceeds from the tap issue of the senior unsecured bonds. This was partially mitigated by: (i) $211.3 million of repayments of long-term debt, finance lease and financial liabilities; (ii) $20.0 million related to the acquisition of treasury units; (iii) $3.2 million of payments for cash distributions; and (iv) $1.5 million payments of deferred finance costs related to the credit facilities, bonds and financial liabilities.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provided by financing activities of $68.3 million for the six month period ended June 30, 2025 was mainly due to $345.3 million of proceeds from the new credit facilities and sale and leaseback agreements. This was partially mitigated by: (i) $245.7 million of repayments of long-term debt, finance lease and financial liabilities; (ii) $23.0 million related to the acquisition of treasury units; (iii) $5.3 million payments of deferred finance costs related to the new credit facilities and financial liabilities; and (iv) $3.0 million of payments for cash distributions.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4" w:name="page17"/>
      <w:bookmarkEnd w:id="4"/>
      <w:r>
        <w:rPr>
          <w:rFonts w:ascii="Times New Roman" w:hAnsi="Times New Roman"/>
          <w:b/>
          <w:color w:val="000000"/>
          <w:sz w:val="20"/>
        </w:rPr>
        <w:t>Reconciliation of EBITDA and Adjusted EBITDA to Net Cash from Operating Activities, EBITDA and Operating Surplus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15"/>
        <w:gridCol w:w="146"/>
        <w:gridCol w:w="379"/>
        <w:gridCol w:w="1366"/>
        <w:gridCol w:w="166"/>
        <w:gridCol w:w="146"/>
        <w:gridCol w:w="379"/>
        <w:gridCol w:w="1366"/>
        <w:gridCol w:w="166"/>
        <w:gridCol w:w="146"/>
        <w:gridCol w:w="291"/>
        <w:gridCol w:w="1161"/>
        <w:gridCol w:w="166"/>
        <w:gridCol w:w="146"/>
        <w:gridCol w:w="291"/>
        <w:gridCol w:w="1161"/>
        <w:gridCol w:w="214"/>
      </w:tblGrid>
      <w:tr>
        <w:trPr/>
        <w:tc>
          <w:tcPr>
            <w:tcW w:w="2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 Period Ended June 30, 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 Period Ended June 30, 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 </w:t>
              <w:br/>
              <w:t>Period Ended June 30, 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 </w:t>
              <w:br/>
              <w:t>Period Ended June 30, 2025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of U.S. dollars)</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278,180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operating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27,975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operating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interest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60,532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and write-off of deferred finance costs and bond premium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operating lease assets/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non-cash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(loss) on sale of vessels,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EBITDA</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487,847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325,844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loss on sale of vessels,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Adjusted EBITDA</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446,311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326,173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interest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(65,539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Maintenance and replacement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(153,300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Operating Surplus</w:t>
            </w:r>
            <w:r>
              <w:rPr>
                <w:rFonts w:ascii="Times New Roman" w:hAnsi="Times New Roman"/>
                <w:b/>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133,432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67,208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234,022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114,296</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(1) EBITDA and Adjusted EBITDA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EBITDA represents net income before interest and finance costs, depreciation and amortization and income taxes. Adjusted EBITDA represents EBITDA excluding certain items, as described in the table above. Navios Partners uses Adjusted EBITDA as a liquidity measure and reconciles EBITDA and Adjusted EBITDA to net cash provided by operating activities, the most comparable U.S. GAAP liquidity measure. EBITDA in this document is calculated as follows: net cash provided by operating activities adding back, when applicable and as the case may be, the effect of: (i) net increase in operating assets; (ii) net increase in operating liabilities; (iii) net interest cost; (iv) amortization and write-off of deferred finance costs and bond premium; (v) amortization of operating lease assets/ liabilities; (vi) other non-cash adjustments; and (vii) gain/ (loss) on sale of vessels, net. Navios Partners believes that EBITDA and Adjusted EBITDA are each the basis upon which liquidity can be assessed and present useful information to investors regarding Navios Partners’ ability to service and/or incur indebtedness, pay capital expenditures, meet working capital requirements and make cash distributions. Navios Partners also believes that EBITDA and Adjusted EBITDA are used: (i) by potential lenders to evaluate potential transactions; (ii) to evaluate and price potential acquisition candidates; and (iii) by securities analysts, investors and other interested parties in the evaluation of companies in our industry.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Each of EBITDA and Adjusted EBITDA have limitations as an analytical tool, and should not be considered in isolation or as a substitute for the analysis of Navios Partners’ results as reported under U.S. GAAP. Some of these limitations are: (i) EBITDA and Adjusted EBITDA do not reflect changes in, or cash requirements for, working capital needs; and (ii) although depreciation and amortization are non-cash charges, the assets being depreciated and amortized may have to be replaced in the future. EBITDA and Adjusted EBITDA do not reflect any cash requirements for such capital expenditures. Because of these limitations, EBITDA and Adjusted EBITDA should not be considered as a principal indicator of Navios Partners’ performance. Furthermore, our calculation of EBITDA and Adjusted EBITDA may not be comparable to that reported by other companies due to differences in methods of calculation.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EBITDA for the three month periods ended June 30, 2026 and 2025 was affected by the item described in the table above. Excluding this item, Adjusted EBITDA increased by $69.6 million to $242.2 million for the three month period ended June 30, 2026, as compared to $172.6 million for the same period in 2025. The increase in Adjusted EBITDA was due to: (i) an $82.6 million increase in time charter and voyage revenues; (ii) a $1.9 million decrease in vessel operating expenses due to a 2.5% decrease in the opex days, partially mitigated by an increase of 0.6% in the opex daily rate to $7,152; and (iii) a $0.5 million decrease in other expense, net. The above increase was partially mitigated by a: (i) $14.4 million increase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time charter and voyage expenses, primarily reflecting additional insurance premiums, reimbursed by charterers; and (ii) $1.0 million increase in general and administrative expenses mainly due to the increase in legal and professional fees and other administrative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EBITDA for the six month periods ended June 30, 2026 and 2025 was affected by the item described in the table above. Excluding this item, Adjusted EBITDA increased by $120.1 million to $446.3 million for the six month period ended June 30, 2026, as compared to $326.2 million for the same period in 2025. The increase in Adjusted EBITDA was due to a: (i) $135.5 million increase in time charter and voyage revenues; (ii) $1.7 million decrease in vessel operating expenses due to a 2.7% decrease in the opex days, partially mitigated by a 1.8% increase in the opex daily rate to $7,174; and (iii) $1.1 million decrease in other expense, net. The above increase was partially mitigated by a: (i) $15.4 million increase in time charter and voyage expenses, primarily reflecting additional insurance premiums, reimbursed by charterers; and (ii) $2.8 million increase in general and administrative expenses mainly due to higher euro-dollar exchange rate prevailing during the first half of 2026 as well as the increase in legal and professional fees, audit fees and other administrative expenses.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 Operating Surplus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Navios Partners generated Operating Surplus for the three and six month periods ended June 30, 2026 of $133.4 million and $234.0 million, respectively. Operating Surplus for the three and six month periods ended June 30, 2025 was $67.2 million and $114.3 million, respectively. Operating Surplus is a non-GAAP financial measure used by certain investors to assist in evaluating a partnership’s ability to make quarterly cash distributions (See “Reconciliation of EBITDA and Adjusted EBITDA to Net Cash from Operating Activities, EBITDA and Operating Surplus” contained herein).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Operating Surplus represents net income adjusted for depreciation and amortization expense, non-cash interest expense, non-cash interest income, estimated maintenance and replacement capital expenditures and one-off items. Maintenance and replacement capital expenditures are those capital expenditures required to maintain over the long term the operating capacity of, or the revenue generated by, Navios Partners’ capital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Operating Surplus is a quantitative measure used in the publicly-traded partnership investment community to assist in evaluating a partnership’s ability to make quarterly cash distributions. Operating Surplus is not required by accounting principles generally accepted in the United States and should not be considered a substitute for net income, cash flow from operating activities and other operations or cash flow statement data prepared in accordance with accounting principles generally accepted in the United States or as a measure of profitability or liquidity.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Capital Expenditures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Navios Partners finances its capital expenditures with cash flows from operations, equity offerings, proceeds from asset sales, long-term bank borrowings and other debt raisings. Capital expenditures for each of the six month periods ended June 30, 2026 and 2025 amounted to $468.2 million and $303.3 million,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Maintenance for our vessels, certain fees and costs related to regulatory requirements including ballast water treatment system installation, exhaust gas cleaning system installation and other improvements and expenses related to drydocking costs are reimbursed at cost by Navios Partners to Navios Shipmanagement Inc. and its affiliates, which are entities affiliated with the Company’s Chairwoman and Chief Executive Officer, under the management agreement. For more information, please read Note 12 – Transactions with related parties and affiliates to the unaudited condensed consolidated financial statements included elsewhere in this report.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Maintenance and Replacement Capital Expenditures Reserve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reserves for estimated maintenance and replacement capital expenditures for the three and six month periods ended June 30, 2026 were $77.0 million and $155.4 million, respectively. We estimate that our annual replacement reserve for the year ending December 31, 2026 will be approximately $306.2 million, for replacing our vessels at the end of their useful lives. The reserves for estimated maintenance and replacement capital expenditures for the three and six month periods ended June 30, 2025 were $76.4 million and $153.3 million,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amount for estimated replacement capital expenditures attributable to future vessel replacement was based on the following assumptions: (i) current market price to purchase a five-year-old vessel of similar size and specifications; (ii) a 25-year useful life for dry bulk and tanker vessels and a 30-year useful life for containerships; and (iii) a relative net investment rate.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amount for estimated maintenance capital expenditures attributable to future vessel drydocking and special survey was based on certain assumptions including the remaining useful life of the owned vessels of our fleet, market costs of drydocking and special survey and a relative net investment rate.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board of directors, with the approval of the Conflicts Committee, may determine that one or more of our assumptions should be revised, which could cause our board of directors to increase or decrease the amount of estimated maintenance and replacement capital expenditures. The actual cost of replacing the vessels in our fleet will depend on a number of factors, including prevailing market conditions, charter hire rates and the availability and cost of financing at the time of replacement. We may elect to finance some or all of our maintenance and replacement capital expenditures through the issuance of additional common units, which could be dilutive to existing unitholders.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Limitations on Cash Distributions and Our Ability to Change Our Cash Distribution Policy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no guarantee that unitholders will receive quarterly distributions from us on the common units on any quarter.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make distributions to our unitholders depends on the performance of our subsidiaries and their ability to distribute funds to us. The ability of our subsidiaries to make distributions to us may be restricted by, among other things, the provisions of existing and future indebtedness, applicable partnership and limited liability company laws and other laws and regulations.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Note 13 – Cash distributions and earnings per unit to the unaudited condensed consolidated financial statements included elsewhere in this report.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Quantitative and Qualitative Disclosures about Market Risks</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Foreign Exchange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functional and reporting currency is the U.S. dollar. We engage in worldwide commerce with a variety of entities. Although our operations may expose us to certain levels of foreign currency risk, our transactions are predominantly U.S. dollar denominated. Transactions in currencies other than the U.S. dollar are translated at the exchange rate in effect at the date of each transaction. Differences in exchange rates are recognized during the period between the date a transaction denominated in a foreign currency is consummated and the date on which it is either settled or translated.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finance a portion of our vessel investments through long-term floating-rate credit facilities and financial liabilities linked to Secured Overnight Financing Rate (“SOFR”). As a result, increases in prevailing interest rates would increase our cost of 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Borrowings under certain of our credit facilities and financial liabilities bear interest at a rate based on a premium over SOFR. Therefore, we are exposed to the risk that our interest expense may increase if interest rates rise. For the six month periods ended June 30, 2026 and 2025, we paid interest on our outstanding debt at a weighted average interest rate of 5.7% and 6.3%, respectively. A 1% increase in SOFR would have increased our interest expense for the six month periods ended June 30, 2026 and 2025 by $7.4 million and $9.4 million, respectively.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Concentration of Credit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instruments, which potentially subject us to significant concentrations of credit risk, consist principally of cash, other investments and trade accounts receivable. We closely monitor our exposure to customers for credit risk. We have policies in place to ensure that we trade with customers with an appropriate credit history.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six month periods ended June 30, 2026 and 2025, only one customer accounted for 10.0% or more of our total revenues and represented approximately 12.8% and 15.5%, respectively, of our total revenues.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lose a charter, we may be unable to re-deploy the related vessel on terms as favorable to us due to the long-term nature of most charters and the cyclical nature of the industry or we may be forced to charter the vessel on the spot market at then market rates which may be less favorable than the charter that has been terminated. If we are unable to re-deploy a vessel for which the charter has been terminated, we will not receive any revenues from that vessel, but we may be required to pay expenses necessary to maintain the vessel in proper operating condition. If we lose a vessel, any replacement or newbuilding would not generate revenues during its construction or acquisition period, and we may be unable to charter any replacement vessel on terms as favorable to us as those of the terminated charter.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we successfully charter our vessels in the future, our charterers may go bankrupt or fail to perform their obligations under the charter agreements, they may delay payments or suspend payments altogether, they may terminate the charter agreements prior to the agreed-upon expiration date or they may attempt to renegotiate the terms of the charters. The permanent loss of a customer, time charter or vessel, or a decline in payments under our charters, could have a material adverse effect on our business, results of operations and financial condition and our ability to make cash distributions or payments in the event we are unable to replace such customer, time charter or vessel. For further details, please read “Risk Factors” in our Annual Report.</w:t>
      </w:r>
    </w:p>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recent accounting pronouncements are included in the accompanying notes to the unaudited condensed consolidated financial statements included elsewhere in this report.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Critical Accounting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statements have been prepared in accordance with U.S. GAAP. The preparation of these financial statements requires us to make estimates in the application of our accounting policies based on the best assumptions, judgments and opinions of management. Actual results may differ from these estimates under different assumptions or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Critical accounting policies are those that reflect significant judgments or uncertainties, and potentially result in materially different results under different assumptions and conditions. All significant accounting policies are as described in Note 2 – Summary of significant accounting policies to the notes to the consolidated financial statements included in the Company’s Annual Report and in Note 2 – Summary of significant accounting policies included in the accompanying notes to the unaudited condensed consolidated financial statements included elsewhere in this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b/>
          <w:color w:val="000000"/>
          <w:sz w:val="20"/>
        </w:rPr>
      </w:pPr>
      <w:bookmarkStart w:id="5" w:name="exhibit_list"/>
      <w:bookmarkEnd w:id="5"/>
      <w:r>
        <w:rPr>
          <w:rFonts w:ascii="Times New Roman" w:hAnsi="Times New Roman"/>
          <w:b/>
          <w:color w:val="000000"/>
          <w:sz w:val="20"/>
        </w:rPr>
        <w:t>Exhibit List</w:t>
      </w:r>
    </w:p>
    <w:tbl>
      <w:tblPr>
        <w:tblW w:w="10205" w:type="dxa"/>
        <w:jc w:val="left"/>
        <w:tblInd w:w="0" w:type="dxa"/>
        <w:tblLayout w:type="fixed"/>
        <w:tblCellMar>
          <w:top w:w="28" w:type="dxa"/>
          <w:left w:w="28" w:type="dxa"/>
          <w:bottom w:w="28" w:type="dxa"/>
          <w:right w:w="28" w:type="dxa"/>
        </w:tblCellMar>
      </w:tblPr>
      <w:tblGrid>
        <w:gridCol w:w="868"/>
        <w:gridCol w:w="9337"/>
      </w:tblGrid>
      <w:tr>
        <w:trPr/>
        <w:tc>
          <w:tcPr>
            <w:tcW w:w="868" w:type="dxa"/>
            <w:tcBorders/>
            <w:shd w:fill="FFFFFF" w:val="clear"/>
            <w:vAlign w:val="center"/>
          </w:tcPr>
          <w:p>
            <w:pPr>
              <w:pStyle w:val="TableContents"/>
              <w:bidi w:val="0"/>
              <w:spacing w:before="0" w:after="283"/>
              <w:jc w:val="left"/>
              <w:rPr>
                <w:sz w:val="4"/>
                <w:szCs w:val="4"/>
              </w:rPr>
            </w:pPr>
            <w:r>
              <w:rPr>
                <w:sz w:val="4"/>
                <w:szCs w:val="4"/>
              </w:rPr>
            </w:r>
          </w:p>
        </w:tc>
        <w:tc>
          <w:tcPr>
            <w:tcW w:w="9337" w:type="dxa"/>
            <w:tcBorders/>
            <w:shd w:fill="FFFFFF" w:val="clear"/>
            <w:vAlign w:val="center"/>
          </w:tcPr>
          <w:p>
            <w:pPr>
              <w:pStyle w:val="TableContents"/>
              <w:bidi w:val="0"/>
              <w:spacing w:before="0" w:after="283"/>
              <w:jc w:val="left"/>
              <w:rPr>
                <w:sz w:val="4"/>
                <w:szCs w:val="4"/>
              </w:rPr>
            </w:pPr>
            <w:r>
              <w:rPr>
                <w:sz w:val="4"/>
                <w:szCs w:val="4"/>
              </w:rPr>
            </w:r>
          </w:p>
        </w:tc>
      </w:tr>
      <w:tr>
        <w:trPr/>
        <w:tc>
          <w:tcPr>
            <w:tcW w:w="86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Exhibit No.</w:t>
            </w:r>
          </w:p>
        </w:tc>
        <w:tc>
          <w:tcPr>
            <w:tcW w:w="933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Description</w:t>
            </w:r>
          </w:p>
        </w:tc>
      </w:tr>
      <w:tr>
        <w:trPr/>
        <w:tc>
          <w:tcPr>
            <w:tcW w:w="86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color w:val="000000"/>
                <w:sz w:val="20"/>
              </w:rPr>
              <w:t>99.1</w:t>
            </w:r>
            <w:r>
              <w:rPr>
                <w:rFonts w:ascii="Times New Roman" w:hAnsi="Times New Roman"/>
                <w:color w:val="000000"/>
                <w:sz w:val="20"/>
              </w:rPr>
              <w:t>*</w:t>
            </w:r>
          </w:p>
        </w:tc>
        <w:tc>
          <w:tcPr>
            <w:tcW w:w="9337" w:type="dxa"/>
            <w:tcBorders/>
            <w:tcMar>
              <w:top w:w="0" w:type="dxa"/>
              <w:left w:w="0" w:type="dxa"/>
              <w:bottom w:w="0" w:type="dxa"/>
              <w:right w:w="0" w:type="dxa"/>
            </w:tcMar>
            <w:vAlign w:val="center"/>
          </w:tcPr>
          <w:p>
            <w:pPr>
              <w:pStyle w:val="TableContents"/>
              <w:bidi w:val="0"/>
              <w:spacing w:before="0" w:after="160"/>
              <w:jc w:val="both"/>
              <w:rPr/>
            </w:pPr>
            <w:hyperlink w:anchor="nmm-ex99_1.htm">
              <w:r>
                <w:rPr>
                  <w:rStyle w:val="InternetLink"/>
                  <w:rFonts w:ascii="Times New Roman" w:hAnsi="Times New Roman"/>
                  <w:color w:val="0000FF"/>
                  <w:sz w:val="20"/>
                  <w:u w:val="single"/>
                </w:rPr>
                <w:t>Tap Issue Addendum, dated June 2, 2026, between Navios Maritime Partners L.P., as Issuer, and Nordic Trustee AS, as Bond Trustee under the Bond Terms dated November 5, 2025, relating to Navios Maritime Partners L.P.'s 7.75% Senior Unsecured Bonds 2025/2030 for up to USD 500,000,000.</w:t>
              </w:r>
            </w:hyperlink>
          </w:p>
        </w:tc>
      </w:tr>
    </w:tbl>
    <w:p>
      <w:pPr>
        <w:pStyle w:val="TextBody"/>
        <w:bidi w:val="0"/>
        <w:spacing w:before="360" w:after="240"/>
        <w:jc w:val="both"/>
        <w:rPr>
          <w:rFonts w:ascii="Times New Roman" w:hAnsi="Times New Roman"/>
          <w:color w:val="000000"/>
          <w:sz w:val="20"/>
        </w:rPr>
      </w:pPr>
      <w:r>
        <w:rPr>
          <w:rFonts w:ascii="Times New Roman" w:hAnsi="Times New Roman"/>
          <w:color w:val="000000"/>
          <w:sz w:val="20"/>
        </w:rPr>
        <w:t>*Filed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u w:val="single"/>
        </w:rPr>
      </w:pPr>
      <w:bookmarkStart w:id="6" w:name="index"/>
      <w:bookmarkEnd w:id="6"/>
      <w:r>
        <w:rPr>
          <w:rFonts w:ascii="Times New Roman" w:hAnsi="Times New Roman"/>
          <w:b/>
          <w:color w:val="000000"/>
          <w:sz w:val="20"/>
          <w:u w:val="single"/>
        </w:rPr>
        <w:t>INDEX</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488"/>
        <w:gridCol w:w="146"/>
        <w:gridCol w:w="571"/>
      </w:tblGrid>
      <w:tr>
        <w:trPr/>
        <w:tc>
          <w:tcPr>
            <w:tcW w:w="94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9488" w:type="dxa"/>
            <w:tcBorders/>
            <w:tcMar>
              <w:top w:w="0" w:type="dxa"/>
              <w:left w:w="0" w:type="dxa"/>
              <w:bottom w:w="0" w:type="dxa"/>
              <w:right w:w="0" w:type="dxa"/>
            </w:tcMar>
            <w:vAlign w:val="center"/>
          </w:tcPr>
          <w:p>
            <w:pPr>
              <w:pStyle w:val="TableContents"/>
              <w:pBdr>
                <w:bottom w:val="single" w:sz="8" w:space="1" w:color="000000"/>
              </w:pBdr>
              <w:bidi w:val="0"/>
              <w:spacing w:before="0" w:after="283"/>
              <w:jc w:val="both"/>
              <w:rPr>
                <w:rFonts w:ascii="Times New Roman" w:hAnsi="Times New Roman"/>
                <w:b/>
                <w:color w:val="000000"/>
                <w:sz w:val="20"/>
              </w:rPr>
            </w:pPr>
            <w:r>
              <w:rPr>
                <w:rFonts w:ascii="Times New Roman" w:hAnsi="Times New Roman"/>
                <w:b/>
                <w:color w:val="000000"/>
                <w:sz w:val="20"/>
              </w:rPr>
              <w:t>NAVIOS MARITIME PARTNERS L.P.</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Page</w:t>
            </w:r>
          </w:p>
        </w:tc>
      </w:tr>
      <w:tr>
        <w:trPr/>
        <w:tc>
          <w:tcPr>
            <w:tcW w:w="9488" w:type="dxa"/>
            <w:tcBorders/>
            <w:tcMar>
              <w:top w:w="0" w:type="dxa"/>
              <w:left w:w="0" w:type="dxa"/>
              <w:bottom w:w="0" w:type="dxa"/>
              <w:right w:w="0" w:type="dxa"/>
            </w:tcMar>
            <w:vAlign w:val="center"/>
          </w:tcPr>
          <w:p>
            <w:pPr>
              <w:pStyle w:val="TableContents"/>
              <w:bidi w:val="0"/>
              <w:spacing w:before="0" w:after="283"/>
              <w:jc w:val="left"/>
              <w:rPr/>
            </w:pPr>
            <w:hyperlink w:anchor="statements_of_balance_sheets">
              <w:r>
                <w:rPr>
                  <w:rStyle w:val="InternetLink"/>
                  <w:rFonts w:ascii="Times New Roman" w:hAnsi="Times New Roman"/>
                  <w:color w:val="000080"/>
                  <w:sz w:val="20"/>
                  <w:u w:val="single"/>
                </w:rPr>
                <w:t>UNAUDITED CONDENSED CONSOLIDATED BALANCE SHEETS AS AT JUNE 30, 2026 AND DECEMBER 31, 202</w:t>
              </w:r>
            </w:hyperlink>
            <w:r>
              <w:rPr>
                <w:rFonts w:ascii="Times New Roman" w:hAnsi="Times New Roman"/>
                <w:color w:val="0000FF"/>
                <w:sz w:val="20"/>
                <w:u w:val="single"/>
              </w:rPr>
              <w:t>5</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F-2</w:t>
            </w:r>
          </w:p>
        </w:tc>
      </w:tr>
      <w:tr>
        <w:trPr/>
        <w:tc>
          <w:tcPr>
            <w:tcW w:w="9488" w:type="dxa"/>
            <w:tcBorders/>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color w:val="0000FF"/>
                  <w:sz w:val="20"/>
                  <w:u w:val="single"/>
                </w:rPr>
                <w:t>UNAUDITED CONDENSED CONSOLIDATED STATEMENTS OF COMPREHENSIVE INCOME FOR THE THREE AND SIX MONTH PERIODS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F-3</w:t>
            </w:r>
          </w:p>
        </w:tc>
      </w:tr>
      <w:tr>
        <w:trPr/>
        <w:tc>
          <w:tcPr>
            <w:tcW w:w="9488" w:type="dxa"/>
            <w:tcBorders/>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000FF"/>
                  <w:sz w:val="20"/>
                  <w:u w:val="single"/>
                </w:rPr>
                <w:t>UNAUDITED CONDENSED CONSOLIDATED STATEMENTS OF CASH FLOWS FOR THE SIX MONTH PERIODS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F-4</w:t>
            </w:r>
          </w:p>
        </w:tc>
      </w:tr>
      <w:tr>
        <w:trPr/>
        <w:tc>
          <w:tcPr>
            <w:tcW w:w="9488" w:type="dxa"/>
            <w:tcBorders/>
            <w:tcMar>
              <w:top w:w="0" w:type="dxa"/>
              <w:left w:w="0" w:type="dxa"/>
              <w:bottom w:w="0" w:type="dxa"/>
              <w:right w:w="0" w:type="dxa"/>
            </w:tcMar>
            <w:vAlign w:val="center"/>
          </w:tcPr>
          <w:p>
            <w:pPr>
              <w:pStyle w:val="TableContents"/>
              <w:bidi w:val="0"/>
              <w:spacing w:before="0" w:after="283"/>
              <w:jc w:val="left"/>
              <w:rPr/>
            </w:pPr>
            <w:hyperlink w:anchor="statements_of_changes_in_partners">
              <w:r>
                <w:rPr>
                  <w:rStyle w:val="InternetLink"/>
                  <w:rFonts w:ascii="Times New Roman" w:hAnsi="Times New Roman"/>
                  <w:color w:val="000080"/>
                  <w:sz w:val="20"/>
                  <w:u w:val="single"/>
                </w:rPr>
                <w:t>UNAUDITED CONDENSED CONSOLIDATED STATEMENTS OF CHANGES IN PARTNERS’ CAPITAL FOR THE THREE AND SIX MONTH PERIODS ENDED JUNE 30, 2026 AND 202</w:t>
              </w:r>
            </w:hyperlink>
            <w:r>
              <w:rPr>
                <w:rFonts w:ascii="Times New Roman" w:hAnsi="Times New Roman"/>
                <w:color w:val="0000FF"/>
                <w:sz w:val="20"/>
                <w:u w:val="single"/>
              </w:rPr>
              <w:t>5</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F-5</w:t>
            </w:r>
          </w:p>
        </w:tc>
      </w:tr>
      <w:tr>
        <w:trPr/>
        <w:tc>
          <w:tcPr>
            <w:tcW w:w="9488" w:type="dxa"/>
            <w:tcBorders/>
            <w:tcMar>
              <w:top w:w="0" w:type="dxa"/>
              <w:left w:w="0" w:type="dxa"/>
              <w:bottom w:w="0" w:type="dxa"/>
              <w:right w:w="0" w:type="dxa"/>
            </w:tcMar>
            <w:vAlign w:val="center"/>
          </w:tcPr>
          <w:p>
            <w:pPr>
              <w:pStyle w:val="TableContents"/>
              <w:bidi w:val="0"/>
              <w:spacing w:before="0" w:after="283"/>
              <w:jc w:val="left"/>
              <w:rPr/>
            </w:pPr>
            <w:hyperlink w:anchor="notes_to_the_condensed_consolidated">
              <w:r>
                <w:rPr>
                  <w:rStyle w:val="InternetLink"/>
                  <w:rFonts w:ascii="Times New Roman" w:hAnsi="Times New Roman"/>
                  <w:color w:val="0000FF"/>
                  <w:sz w:val="20"/>
                  <w:u w:val="single"/>
                </w:rPr>
                <w:t>NOTES TO THE CONDENSED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F-6</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NAVIOS MARITIME PARTNERS L.P.</w:t>
      </w:r>
    </w:p>
    <w:p>
      <w:pPr>
        <w:pStyle w:val="TextBody"/>
        <w:bidi w:val="0"/>
        <w:jc w:val="center"/>
        <w:rPr>
          <w:rFonts w:ascii="Times New Roman" w:hAnsi="Times New Roman"/>
          <w:b/>
          <w:color w:val="000000"/>
          <w:sz w:val="20"/>
        </w:rPr>
      </w:pPr>
      <w:bookmarkStart w:id="7" w:name="statements_of_balance_sheets"/>
      <w:bookmarkEnd w:id="7"/>
      <w:r>
        <w:rPr>
          <w:rFonts w:ascii="Times New Roman" w:hAnsi="Times New Roman"/>
          <w:b/>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(Expressed in thousands of U.S. Dollars except unit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179"/>
        <w:gridCol w:w="146"/>
        <w:gridCol w:w="592"/>
        <w:gridCol w:w="146"/>
        <w:gridCol w:w="222"/>
        <w:gridCol w:w="981"/>
        <w:gridCol w:w="166"/>
        <w:gridCol w:w="146"/>
        <w:gridCol w:w="261"/>
        <w:gridCol w:w="1153"/>
        <w:gridCol w:w="213"/>
      </w:tblGrid>
      <w:tr>
        <w:trPr/>
        <w:tc>
          <w:tcPr>
            <w:tcW w:w="61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b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402,783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62,810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due from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602,327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512,052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Vessels,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4,575,031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4,389,868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 for vessel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470,550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62,804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drydock and special survey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264,385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due from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218,952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5,661,806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5,416,934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6,264,133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5,928,986</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PARTNERS’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61,358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due to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finance lease and financial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143,592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133,773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derivatives,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393,492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455,146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188,058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Unfavorable lease terms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finance lease and financial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613,245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974,584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unsecured bonds,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294,392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derivatives,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2,277,140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2,133,094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2,670,632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2,588,240</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Partners’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Unitholders (28,364,048 and 28,665,121 common units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3,529,174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3,283,806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Partner (622,296 general partnership units outstanding at each of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59,201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partners’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3,593,501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3,340,746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partners’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6,264,133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5,928,986</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unaudited notes to the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NAVIOS MARITIME PARTNERS L.P.</w:t>
      </w:r>
    </w:p>
    <w:p>
      <w:pPr>
        <w:pStyle w:val="TextBody"/>
        <w:bidi w:val="0"/>
        <w:jc w:val="center"/>
        <w:rPr>
          <w:rFonts w:ascii="Times New Roman" w:hAnsi="Times New Roman"/>
          <w:sz w:val="20"/>
        </w:rPr>
      </w:pPr>
      <w:bookmarkStart w:id="8" w:name="statements_of_operations"/>
      <w:bookmarkEnd w:id="8"/>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STATEMENTS OF COMPREHENSIVE INCOME</w:t>
      </w:r>
    </w:p>
    <w:p>
      <w:pPr>
        <w:pStyle w:val="TextBody"/>
        <w:bidi w:val="0"/>
        <w:jc w:val="center"/>
        <w:rPr>
          <w:rFonts w:ascii="Times New Roman" w:hAnsi="Times New Roman"/>
          <w:color w:val="000000"/>
          <w:sz w:val="20"/>
        </w:rPr>
      </w:pPr>
      <w:r>
        <w:rPr>
          <w:rFonts w:ascii="Times New Roman" w:hAnsi="Times New Roman"/>
          <w:color w:val="000000"/>
          <w:sz w:val="20"/>
        </w:rPr>
        <w:t>(Expressed in thousands of U.S. Dollars except per unit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330"/>
        <w:gridCol w:w="146"/>
        <w:gridCol w:w="580"/>
        <w:gridCol w:w="146"/>
        <w:gridCol w:w="342"/>
        <w:gridCol w:w="1227"/>
        <w:gridCol w:w="166"/>
        <w:gridCol w:w="146"/>
        <w:gridCol w:w="342"/>
        <w:gridCol w:w="1227"/>
        <w:gridCol w:w="166"/>
        <w:gridCol w:w="146"/>
        <w:gridCol w:w="272"/>
        <w:gridCol w:w="1085"/>
        <w:gridCol w:w="166"/>
        <w:gridCol w:w="146"/>
        <w:gridCol w:w="272"/>
        <w:gridCol w:w="1085"/>
        <w:gridCol w:w="215"/>
      </w:tblGrid>
      <w:tr>
        <w:trPr/>
        <w:tc>
          <w:tcPr>
            <w:tcW w:w="23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 Period Ended June 30, 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 Period Ended June 30, 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 </w:t>
              <w:br/>
              <w:t>Period Ended June 30, 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 </w:t>
              <w:br/>
              <w:t>Period Ended June 30, 2025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charter and voyage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2, 14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631,670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Time charter and voyage expenses </w:t>
              <w:br/>
              <w:t>(including $4,837, $4,023, $9,170 and $7,871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Vessel operating expenses </w:t>
              <w:br/>
              <w:t>(including $12,852, $12,802, $25,549 and $25,532 to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(192,246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(45,394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(159,430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unfavorable lease terms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(loss) on sale of vessels,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and finance cost,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(66,995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167,919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69,947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274,263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111,674</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 (loss) on cash flow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(2,314</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168,890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69,404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275,959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109,360</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25"/>
        <w:gridCol w:w="146"/>
        <w:gridCol w:w="461"/>
        <w:gridCol w:w="1679"/>
        <w:gridCol w:w="146"/>
        <w:gridCol w:w="146"/>
        <w:gridCol w:w="560"/>
        <w:gridCol w:w="1580"/>
        <w:gridCol w:w="146"/>
        <w:gridCol w:w="146"/>
        <w:gridCol w:w="355"/>
        <w:gridCol w:w="1286"/>
        <w:gridCol w:w="146"/>
        <w:gridCol w:w="146"/>
        <w:gridCol w:w="355"/>
        <w:gridCol w:w="1286"/>
        <w:gridCol w:w="196"/>
      </w:tblGrid>
      <w:tr>
        <w:trPr/>
        <w:tc>
          <w:tcPr>
            <w:tcW w:w="1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 Period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 Period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 </w:t>
              <w:br/>
              <w:t>Period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 </w:t>
              <w:br/>
              <w:t>Period Ended June 30, 2025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Unitholders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109,329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Partner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167,919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69,947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274,263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111,674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12"/>
        <w:gridCol w:w="146"/>
        <w:gridCol w:w="775"/>
        <w:gridCol w:w="1274"/>
        <w:gridCol w:w="146"/>
        <w:gridCol w:w="146"/>
        <w:gridCol w:w="775"/>
        <w:gridCol w:w="1274"/>
        <w:gridCol w:w="146"/>
        <w:gridCol w:w="146"/>
        <w:gridCol w:w="631"/>
        <w:gridCol w:w="958"/>
        <w:gridCol w:w="146"/>
        <w:gridCol w:w="146"/>
        <w:gridCol w:w="631"/>
        <w:gridCol w:w="958"/>
        <w:gridCol w:w="195"/>
      </w:tblGrid>
      <w:tr>
        <w:trPr/>
        <w:tc>
          <w:tcPr>
            <w:tcW w:w="1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7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 Period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 Period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 </w:t>
              <w:br/>
              <w:t>Period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 </w:t>
              <w:br/>
              <w:t>Period Ended June 30, 2025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unit (see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common unit,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common unit,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unaudited notes to the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NAVIOS MARITIME PARTNERS L.P.</w:t>
      </w:r>
    </w:p>
    <w:p>
      <w:pPr>
        <w:pStyle w:val="TextBody"/>
        <w:bidi w:val="0"/>
        <w:jc w:val="center"/>
        <w:rPr>
          <w:rFonts w:ascii="Times New Roman" w:hAnsi="Times New Roman"/>
          <w:b/>
          <w:color w:val="000000"/>
          <w:sz w:val="20"/>
        </w:rPr>
      </w:pPr>
      <w:bookmarkStart w:id="9" w:name="statements_of_cash_flows"/>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(Expressed in thousands of U.S. Dollars)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951"/>
        <w:gridCol w:w="146"/>
        <w:gridCol w:w="598"/>
        <w:gridCol w:w="146"/>
        <w:gridCol w:w="384"/>
        <w:gridCol w:w="1535"/>
        <w:gridCol w:w="166"/>
        <w:gridCol w:w="146"/>
        <w:gridCol w:w="384"/>
        <w:gridCol w:w="1535"/>
        <w:gridCol w:w="214"/>
      </w:tblGrid>
      <w:tr>
        <w:trPr/>
        <w:tc>
          <w:tcPr>
            <w:tcW w:w="4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 </w:t>
              <w:br/>
              <w:t>Period Ended June 30, 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 </w:t>
              <w:br/>
              <w:t>Period Ended June 30, 2025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111,674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159,430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unfavorable lease terms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non-cash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operating lease assets/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and write-off of deferred finance costs and bond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loss on sale of vessels,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in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in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 amounts due from related parties (including current and non-current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for drydock and special survey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(77,215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increase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amounts due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39,536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313,289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278,180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proceeds from sale of vessels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 for acquisition/ option to acquire vessel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(109,905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additions to vessels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(193,365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(451,167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(268,650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distributions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long-term debt, finance lease and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(245,735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of deferred finance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long-term debt, finance lease and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345,314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senior unsecured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treasury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87,722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68,304</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77,834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402,969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299,789</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352,813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377,623</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9970" w:type="dxa"/>
        <w:jc w:val="left"/>
        <w:tblInd w:w="0" w:type="dxa"/>
        <w:tblLayout w:type="fixed"/>
        <w:tblCellMar>
          <w:top w:w="28" w:type="dxa"/>
          <w:left w:w="28" w:type="dxa"/>
          <w:bottom w:w="28" w:type="dxa"/>
          <w:right w:w="28" w:type="dxa"/>
        </w:tblCellMar>
      </w:tblPr>
      <w:tblGrid>
        <w:gridCol w:w="4351"/>
        <w:gridCol w:w="146"/>
        <w:gridCol w:w="496"/>
        <w:gridCol w:w="1979"/>
        <w:gridCol w:w="166"/>
        <w:gridCol w:w="146"/>
        <w:gridCol w:w="496"/>
        <w:gridCol w:w="1979"/>
        <w:gridCol w:w="21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 </w:t>
              <w:br/>
              <w:t>Period Ended June 30, 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 </w:t>
              <w:br/>
              <w:t>Period Ended June 30, 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and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 for acquisition/ option to acquire vessel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additions to vessels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unaudited notes to the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NAVIOS MARITIME PARTNERS L.P.</w:t>
      </w:r>
    </w:p>
    <w:p>
      <w:pPr>
        <w:pStyle w:val="TextBody"/>
        <w:bidi w:val="0"/>
        <w:jc w:val="center"/>
        <w:rPr>
          <w:rFonts w:ascii="Times New Roman" w:hAnsi="Times New Roman"/>
          <w:b/>
          <w:color w:val="000000"/>
          <w:sz w:val="20"/>
        </w:rPr>
      </w:pPr>
      <w:bookmarkStart w:id="10" w:name="statements_of_changes_in_partners"/>
      <w:bookmarkEnd w:id="10"/>
      <w:r>
        <w:rPr>
          <w:rFonts w:ascii="Times New Roman" w:hAnsi="Times New Roman"/>
          <w:b/>
          <w:color w:val="000000"/>
          <w:sz w:val="20"/>
        </w:rPr>
        <w:t>CONDENSED CONSOLIDATED STATEMENTS OF CHANGES IN PARTNERS’ CAPITAL</w:t>
      </w:r>
    </w:p>
    <w:p>
      <w:pPr>
        <w:pStyle w:val="TextBody"/>
        <w:bidi w:val="0"/>
        <w:jc w:val="center"/>
        <w:rPr>
          <w:rFonts w:ascii="Times New Roman" w:hAnsi="Times New Roman"/>
          <w:color w:val="000000"/>
          <w:sz w:val="20"/>
        </w:rPr>
      </w:pPr>
      <w:r>
        <w:rPr>
          <w:rFonts w:ascii="Times New Roman" w:hAnsi="Times New Roman"/>
          <w:color w:val="000000"/>
          <w:sz w:val="20"/>
        </w:rPr>
        <w:t>(Expressed in thousands of U.S. Dollars except unit and per unit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565"/>
        <w:gridCol w:w="146"/>
        <w:gridCol w:w="146"/>
        <w:gridCol w:w="781"/>
        <w:gridCol w:w="146"/>
        <w:gridCol w:w="146"/>
        <w:gridCol w:w="211"/>
        <w:gridCol w:w="676"/>
        <w:gridCol w:w="166"/>
        <w:gridCol w:w="146"/>
        <w:gridCol w:w="146"/>
        <w:gridCol w:w="1036"/>
        <w:gridCol w:w="166"/>
        <w:gridCol w:w="146"/>
        <w:gridCol w:w="211"/>
        <w:gridCol w:w="931"/>
        <w:gridCol w:w="166"/>
        <w:gridCol w:w="146"/>
        <w:gridCol w:w="365"/>
        <w:gridCol w:w="1097"/>
        <w:gridCol w:w="166"/>
        <w:gridCol w:w="146"/>
        <w:gridCol w:w="211"/>
        <w:gridCol w:w="931"/>
        <w:gridCol w:w="212"/>
      </w:tblGrid>
      <w:tr>
        <w:trPr/>
        <w:tc>
          <w:tcPr>
            <w:tcW w:w="1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5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Limited Partners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General Partner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Unitholders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Partners’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622,296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59,201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28,665,121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3,283,806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3,340,746</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distribution paid ($0.05 per unit — see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treasury units (see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(see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106,344</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622,296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61,403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28,499,894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3,376,248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3,436,115</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distribution paid ($0.06 per unit — see Note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treasury units (see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(see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167,919</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622,296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64,892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28,364,048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3,529,174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3,593,501</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565"/>
        <w:gridCol w:w="146"/>
        <w:gridCol w:w="146"/>
        <w:gridCol w:w="781"/>
        <w:gridCol w:w="146"/>
        <w:gridCol w:w="146"/>
        <w:gridCol w:w="211"/>
        <w:gridCol w:w="676"/>
        <w:gridCol w:w="166"/>
        <w:gridCol w:w="146"/>
        <w:gridCol w:w="146"/>
        <w:gridCol w:w="1036"/>
        <w:gridCol w:w="166"/>
        <w:gridCol w:w="146"/>
        <w:gridCol w:w="211"/>
        <w:gridCol w:w="931"/>
        <w:gridCol w:w="166"/>
        <w:gridCol w:w="146"/>
        <w:gridCol w:w="365"/>
        <w:gridCol w:w="1097"/>
        <w:gridCol w:w="166"/>
        <w:gridCol w:w="146"/>
        <w:gridCol w:w="211"/>
        <w:gridCol w:w="931"/>
        <w:gridCol w:w="212"/>
      </w:tblGrid>
      <w:tr>
        <w:trPr/>
        <w:tc>
          <w:tcPr>
            <w:tcW w:w="1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Limited Partners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General Partner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Unitholders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Partners’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622,296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53,333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29,694,433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3,053,295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3,106,628</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distribution paid ($0.05 per unit — see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treasury units (see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(see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41,727</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622,296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54,178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29,457,974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3,082,666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3,135,073</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distribution paid ($0.05 per unit — see Note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treasury units (see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(see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69,947</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622,296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55,616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29,093,133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3,136,682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3,189,984</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unaudited notes to the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NAVIOS MARITIME PARTNERS L.P.</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(Expressed in thousands of U.S. Dollars except unit and per unit data)</w:t>
      </w:r>
    </w:p>
    <w:p>
      <w:pPr>
        <w:pStyle w:val="TextBody"/>
        <w:bidi w:val="0"/>
        <w:jc w:val="center"/>
        <w:rPr/>
      </w:pPr>
      <w:r>
        <w:rPr/>
        <w:t> </w:t>
      </w:r>
    </w:p>
    <w:p>
      <w:pPr>
        <w:pStyle w:val="TextBody"/>
        <w:bidi w:val="0"/>
        <w:spacing w:before="0" w:after="120"/>
        <w:jc w:val="both"/>
        <w:rPr>
          <w:rFonts w:ascii="Times New Roman" w:hAnsi="Times New Roman"/>
          <w:b/>
          <w:color w:val="000000"/>
          <w:sz w:val="20"/>
        </w:rPr>
      </w:pPr>
      <w:bookmarkStart w:id="11" w:name="notes_to_the_condensed_consolidated"/>
      <w:bookmarkEnd w:id="11"/>
      <w:r>
        <w:rPr>
          <w:rFonts w:ascii="Times New Roman" w:hAnsi="Times New Roman"/>
          <w:b/>
          <w:color w:val="000000"/>
          <w:sz w:val="20"/>
        </w:rPr>
        <w:t>NOTE 1 – DESCRIPTION OF BUSINESS</w:t>
      </w:r>
    </w:p>
    <w:p>
      <w:pPr>
        <w:pStyle w:val="TextBody"/>
        <w:bidi w:val="0"/>
        <w:jc w:val="both"/>
        <w:rPr>
          <w:rFonts w:ascii="Times New Roman" w:hAnsi="Times New Roman"/>
          <w:color w:val="000000"/>
          <w:sz w:val="20"/>
        </w:rPr>
      </w:pPr>
      <w:r>
        <w:rPr>
          <w:rFonts w:ascii="Times New Roman" w:hAnsi="Times New Roman"/>
          <w:color w:val="000000"/>
          <w:sz w:val="20"/>
        </w:rPr>
        <w:t>Navios Maritime Partners L.P. (“Navios Partners” or the “Company”), is an international owner and operator of dry cargo and tanker vessels, formed on August 7, 2007 under the laws of the Republic of the Marshall Islands.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Navios Partners is engaged in the seaborne transportation services of a wide range of liquid and dry cargo commodities including crude oil, refined petroleum products, iron ore, coal, grain, fertilizer and containers, chartering its vessels under short-term, medium-term and longer-term charters. The operations of Navios Partners are managed by Navios Shipmanagement Inc. and its affiliates (the “Manager”), which are entities affiliated with the Company’s Chairwoman and Chief Executive Officer (see Note 12 – Transactions with related parties and affiliates).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there were outstanding 28,364,048 common units and 622,296 general partnership units. Angeliki Frangou, our Chief Executive Officer and Chairwoman beneficially owned an approximately 18.1% common interest of the total outstanding common units, consisting of 5,125,394 common units held directly or indirectly through entities affiliated with her. In addition, an entity affiliated with Angeliki Frangou beneficially owned 622,296 general partnership units, representing an approximately 2.1% ownership interest in Navios Partners based on all outstanding common units and general partnership units (see Note 12 – Transactions with related parties and affiliates).</w:t>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NOTE 2 – SUMMARY OF SIGNIFICANT ACCOUNTING POLICIES</w:t>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(a)</w:t>
      </w:r>
    </w:p>
    <w:p>
      <w:pPr>
        <w:pStyle w:val="TextBody"/>
        <w:bidi w:val="0"/>
        <w:jc w:val="both"/>
        <w:rPr>
          <w:rFonts w:ascii="Times New Roman" w:hAnsi="Times New Roman"/>
          <w:sz w:val="20"/>
        </w:rPr>
      </w:pPr>
      <w:r>
        <w:rPr>
          <w:rFonts w:ascii="Times New Roman" w:hAnsi="Times New Roman"/>
          <w:b/>
          <w:i/>
          <w:color w:val="000000"/>
          <w:sz w:val="20"/>
        </w:rPr>
        <w:t>Basis of presentation</w:t>
      </w:r>
      <w:r>
        <w:rPr>
          <w:rFonts w:ascii="Times New Roman" w:hAnsi="Times New Roman"/>
          <w:b/>
          <w:color w:val="000000"/>
          <w:sz w:val="20"/>
        </w:rPr>
        <w:t>:</w:t>
      </w:r>
      <w:r>
        <w:rPr>
          <w:rFonts w:ascii="Times New Roman" w:hAnsi="Times New Roman"/>
          <w:color w:val="000000"/>
          <w:sz w:val="20"/>
        </w:rPr>
        <w:t xml:space="preserve"> The accompanying interim condensed consolidated financial statements are unaudited, but, in the opinion of management, reflect all adjustments for a fair statement of Navios Partners’ consolidated balance sheets, statements of partners’ capital, statements of comprehensive income and cash flows for the periods presented. The results of operations for the interim periods are not necessarily indicative of results for the full year. The footnotes are condensed as permitted by the requirements for interim financial statements and accordingly, do not include information and disclosures required under United States generally accepted accounting principles (“U.S. GAAP”) for complete financial statements. All such adjustments are deemed to be of a normal recurring nature. These interim financial statements should be read in conjunction with the Company’s consolidated financial statements and notes included in Navios Partners’ annual report for the year ended December 31, 2025 filed on Form 20-F on March 12, 2026 (the “Annual Report”) with the U.S. Securities and Exchange Commission (“SEC”).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Based on internal forecasts and projections that take into account reasonably possible changes in the Company’s trading performance, management believes that the Company has adequate financial resources, including cash from sale of vessels (see Note 4 – Vessels, net and Note 15 – Subsequent events) and undrawn amounts available under credit facilities, to continue in operation and meet its financial commitments, including but not limited to capital expenditures and debt service obligations, for a period of at least 12 months from the date of issuance of these condensed consolidated financial statements. Accordingly, the Company continues to adopt the going concern basis in preparing its financial statements.</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(b)</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both"/>
        <w:rPr/>
      </w:pPr>
      <w:r>
        <w:rPr>
          <w:rFonts w:ascii="Times New Roman" w:hAnsi="Times New Roman"/>
          <w:b/>
          <w:i/>
          <w:color w:val="000000"/>
          <w:sz w:val="20"/>
        </w:rPr>
        <w:t xml:space="preserve">Principles of consolidation: </w:t>
      </w:r>
      <w:r>
        <w:rPr>
          <w:rFonts w:ascii="Times New Roman" w:hAnsi="Times New Roman"/>
          <w:color w:val="000000"/>
          <w:sz w:val="20"/>
        </w:rPr>
        <w:t>The accompanying interim condensed consolidated financial statements include Navios Partners’ wholly owned</w:t>
      </w:r>
      <w:r>
        <w:rPr>
          <w:color w:val="000000"/>
        </w:rPr>
        <w:t xml:space="preserve"> </w:t>
      </w:r>
      <w:r>
        <w:rPr>
          <w:rFonts w:ascii="Times New Roman" w:hAnsi="Times New Roman"/>
          <w:color w:val="000000"/>
          <w:sz w:val="20"/>
        </w:rPr>
        <w:t>subsidiaries from their dates of incorporation or from the date of acquiring control or, for chartered-in vessels, from the dates charter-in agreements were in effect. All significant inter-company balances and transactions have been eliminated in Navios Partners’ condensed consolidated financial statements.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Navios Partners also consolidates entities that are determined to be variable interest entities (“VIE”) as defined in the accounting guidance, if it determines that it is the primary beneficiary. A VIE is defined as a legal entity where either (i) equity interest holders as a group lack the characteristics of a controlling financial interest, including decision making ability and an interest in the entity’s residual risks and rewards, (ii) the equity holders have not provided sufficient equity investment to permit the entity to finance its activities without additional subordinated financial support, or (iii) the voting rights of some investors are not proportional to their obligations to absorb the expected losses of the entity, their rights to receive the expected residual returns of the entity, or both and substantially all of the entity’s activities either involve or are conducted on behalf of an investor that has disproportionately few voting rights.</w:t>
      </w:r>
    </w:p>
    <w:p>
      <w:pPr>
        <w:pStyle w:val="TextBody"/>
        <w:bidi w:val="0"/>
        <w:spacing w:before="0" w:after="120"/>
        <w:jc w:val="both"/>
        <w:rPr>
          <w:rFonts w:ascii="Times New Roman" w:hAnsi="Times New Roman"/>
          <w:sz w:val="20"/>
        </w:rPr>
      </w:pPr>
      <w:r>
        <w:rPr>
          <w:rFonts w:ascii="Times New Roman" w:hAnsi="Times New Roman"/>
          <w:b/>
          <w:i/>
          <w:color w:val="000000"/>
          <w:sz w:val="20"/>
        </w:rPr>
        <w:t xml:space="preserve">Subsidiaries: </w:t>
      </w:r>
      <w:r>
        <w:rPr>
          <w:rFonts w:ascii="Times New Roman" w:hAnsi="Times New Roman"/>
          <w:color w:val="000000"/>
          <w:sz w:val="20"/>
        </w:rPr>
        <w:t>Subsidiaries are those entities in which Navios Partners has an interest of more than one half of the voting rights.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discussion of the Company’s significant accounting policies can be found in Note 2 – Summary of significant accounting policies to the Company’s consolidated financial statements included in the Annual Report. There were no material changes to these policies in the six month period ended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NAVIOS MARITIME PARTNERS L.P.</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(Expressed in thousands of U.S. Dollars except unit and per unit data)</w:t>
      </w:r>
    </w:p>
    <w:p>
      <w:pPr>
        <w:pStyle w:val="TextBody"/>
        <w:bidi w:val="0"/>
        <w:jc w:val="center"/>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Revenue and Expense Recognition:</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Revenue from time chartering and bareboat chartering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Revenues from time chartering and bareboat chartering of vessels are accounted for as operating leases and are thus recognized on a straight line basis as the average lease revenue over the rental periods of such charter agreements, as service is performed. A time charter involves placing a vessel at the charterers’ disposal for a period of time during which the charterer uses the vessel in return for the payment of a specified daily hire rate. Short period charters for less than three months are referred to as spot-charters. Charters extending three months to a year are generally referred to as medium-term charters. All other charters are considered long-term. The Company has determined to recognize lease revenue as a combined single lease component for all time charters (operating leases) as the related lease component and non-lease components will have the same timing and pattern of the revenue recognition of the combined single lease component. The performance obligations in a time charter contract are satisfied over the term of the contract beginning when the vessel is delivered to the charterer until it is redelivered back to the Company. Under time charters, operating costs such as for crews, maintenance and insurance are typically paid by the owner of the vessel. Revenue from time chartering and bareboat chartering of vessels amounted to $372,781 and $315,290 for the three month periods ended June 30, 2026 and 2025, respectively. Revenue from time chartering and bareboat chartering of vessels amounted to $688,583 and $607,345 for the six month periods ended June 30, 2026 and 2025, respectively.</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Revenue from voyage charters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a voyage charter, a vessel is provided for the transportation of specific goods between specific ports in return for payment of an agreed upon freight per ton of cargo. In accordance with ASC 606, the Company recognizes revenue ratably from port of loading to when the charterer’s cargo is discharged as well as defers costs that meet the definition of “costs to fulfill a contract” and relate directly to the contract. Revenue from voyage contracts amounted to $22,256 and $3,568 for the three month periods ended June 30, 2026 and 2025, respectively. Revenue from voyage contracts amounted to $49,253 and $8,798 for the six month periods ended June 30, 2026 and 2025, respectively.</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Revenue from pooling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vessels operating in pooling arrangements, the Company earns a portion of total revenues generated by the pool, net of expenses incurred by the pool. The amount allocated to each pool participant vessel, including the Company’s vessels, is determined in accordance with an agreed-upon formula, which is determined by points awarded to each vessel in the pool based on the vessel’s age, design and other performance characteristics. Revenue under pooling arrangements is accounted for as variable-rate operating leases under the scope of ASC 842 and is recognized for the applicable period when collectability is reasonably assured. The allocation of such net revenue may be subject to future adjustments by the pool; however, such changes are not expected to be material. The Company recognizes net pool revenue on a monthly and quarterly basis, when the vessel has participated in a pool during the period and the amount of pool revenue can be estimated reliably based on the pool report. Revenue from vessels operating in pooling arrangements amounted to $15,129 and $8,700 for the three month periods ended June 30, 2026 and 2025, respectively. Revenue from vessels operating in pooling arrangements amounted to $29,337 and $15,527 for the six month periods ended June 30, 2026 and 2025,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Revenues are recorded net of address commissions. Address commissions represent a discount provided directly to the charterers based on a fixed percentage of the agreed upon charter or freight rate. Since address commissions represent a discount (sales incentive) on services rendered by the Company and no identifiable benefit is received in exchange for the consideration provided to the charterer, these commissions are presented as a reduction of revenue.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condensed consolidated financial statements should be read in conjunction with the consolidated financial statements and related notes included in Navios Partners’ Annual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2026, the FASB issued ASU 2026-02, “Environmental Credits and Environmental Credit Obligations” (Topic 818). The standard establishes recognition, measurement, presentation and disclosure requirements for all entities that generate, purchase, or receive environmental credits or have a regulatory compliance obligation that may be settled with environmental credits. This ASU is required to be adopted by the Company in the first quarter of 2028 on a retrospective basis. The Company is currently assessing the impact this standard will have on its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NAVIOS MARITIME PARTNERS L.P.</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(Expressed in thousands of U.S. Dollars except unit and per unit data)</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 CASH AND CASH EQUIVALENTS AND RESTRICTED CASH AND OTHER INVESTMENTS</w:t>
      </w:r>
    </w:p>
    <w:p>
      <w:pPr>
        <w:pStyle w:val="TextBody"/>
        <w:bidi w:val="0"/>
        <w:jc w:val="left"/>
        <w:rPr/>
      </w:pPr>
      <w:r>
        <w:rPr/>
        <w:t> </w:t>
      </w:r>
    </w:p>
    <w:tbl>
      <w:tblPr>
        <w:tblW w:w="8055" w:type="dxa"/>
        <w:jc w:val="left"/>
        <w:tblInd w:w="0" w:type="dxa"/>
        <w:tblLayout w:type="fixed"/>
        <w:tblCellMar>
          <w:top w:w="28" w:type="dxa"/>
          <w:left w:w="28" w:type="dxa"/>
          <w:bottom w:w="28" w:type="dxa"/>
          <w:right w:w="28" w:type="dxa"/>
        </w:tblCellMar>
      </w:tblPr>
      <w:tblGrid>
        <w:gridCol w:w="4426"/>
        <w:gridCol w:w="146"/>
        <w:gridCol w:w="271"/>
        <w:gridCol w:w="1004"/>
        <w:gridCol w:w="146"/>
        <w:gridCol w:w="146"/>
        <w:gridCol w:w="367"/>
        <w:gridCol w:w="1358"/>
        <w:gridCol w:w="1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and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352,813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402,969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Restricted cash relates to amounts held in retention accounts in order to service debt and interest payments, as required by certain of the Company’s credit facilities and financial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deposits and cash equivalents in excess of amounts covered by government-provided insurance are exposed to loss in the event of non-performance by financial institutions. Navios Partners does maintain cash deposits and cash equivalents in excess of government-provided insurance limits. Navios Partners also mitigates exposure to credit risk by dealing with a diversified group of major financial institutions.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investments consist of time deposits with original maturities of greater than three months and less than 12 months. As of June 30, 2026 and December 31, 2025, other investments amounted to $116,480 and $10,483, respectively.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4 – VESSELS, NET</w:t>
      </w:r>
    </w:p>
    <w:p>
      <w:pPr>
        <w:pStyle w:val="TextBody"/>
        <w:bidi w:val="0"/>
        <w:jc w:val="both"/>
        <w:rPr/>
      </w:pPr>
      <w:r>
        <w:rPr/>
        <w:t> </w:t>
      </w:r>
    </w:p>
    <w:tbl>
      <w:tblPr>
        <w:tblW w:w="8667" w:type="dxa"/>
        <w:jc w:val="left"/>
        <w:tblInd w:w="0" w:type="dxa"/>
        <w:tblLayout w:type="fixed"/>
        <w:tblCellMar>
          <w:top w:w="28" w:type="dxa"/>
          <w:left w:w="28" w:type="dxa"/>
          <w:bottom w:w="28" w:type="dxa"/>
          <w:right w:w="28" w:type="dxa"/>
        </w:tblCellMar>
      </w:tblPr>
      <w:tblGrid>
        <w:gridCol w:w="4186"/>
        <w:gridCol w:w="146"/>
        <w:gridCol w:w="211"/>
        <w:gridCol w:w="931"/>
        <w:gridCol w:w="166"/>
        <w:gridCol w:w="146"/>
        <w:gridCol w:w="213"/>
        <w:gridCol w:w="1003"/>
        <w:gridCol w:w="166"/>
        <w:gridCol w:w="146"/>
        <w:gridCol w:w="211"/>
        <w:gridCol w:w="931"/>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Vessels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Depreciation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br/>
              <w:t>Book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5,359,878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(970,010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4,389,868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343,278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Disposals/ Impairment/ Transfers to owned vessels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(158,115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5,626,659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(1,051,628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4,575,031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above balances as of June 30, 2026 are analyzed in the following tables: </w:t>
      </w:r>
    </w:p>
    <w:p>
      <w:pPr>
        <w:pStyle w:val="TextBody"/>
        <w:bidi w:val="0"/>
        <w:jc w:val="both"/>
        <w:rPr/>
      </w:pPr>
      <w:r>
        <w:rPr/>
        <w:t> </w:t>
      </w:r>
    </w:p>
    <w:tbl>
      <w:tblPr>
        <w:tblW w:w="6957" w:type="dxa"/>
        <w:jc w:val="left"/>
        <w:tblInd w:w="0" w:type="dxa"/>
        <w:tblLayout w:type="fixed"/>
        <w:tblCellMar>
          <w:top w:w="28" w:type="dxa"/>
          <w:left w:w="28" w:type="dxa"/>
          <w:bottom w:w="28" w:type="dxa"/>
          <w:right w:w="28" w:type="dxa"/>
        </w:tblCellMar>
      </w:tblPr>
      <w:tblGrid>
        <w:gridCol w:w="2476"/>
        <w:gridCol w:w="146"/>
        <w:gridCol w:w="211"/>
        <w:gridCol w:w="931"/>
        <w:gridCol w:w="166"/>
        <w:gridCol w:w="146"/>
        <w:gridCol w:w="213"/>
        <w:gridCol w:w="1003"/>
        <w:gridCol w:w="166"/>
        <w:gridCol w:w="146"/>
        <w:gridCol w:w="211"/>
        <w:gridCol w:w="931"/>
        <w:gridCol w:w="21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Owned Vessels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Depreciation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br/>
              <w:t>Book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4,883,853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(924,547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3,959,306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302,366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Disposals/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(77,447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5,195,302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(1,011,077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4,184,225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7615" w:type="dxa"/>
        <w:jc w:val="left"/>
        <w:tblInd w:w="0" w:type="dxa"/>
        <w:tblLayout w:type="fixed"/>
        <w:tblCellMar>
          <w:top w:w="28" w:type="dxa"/>
          <w:left w:w="28" w:type="dxa"/>
          <w:bottom w:w="28" w:type="dxa"/>
          <w:right w:w="28" w:type="dxa"/>
        </w:tblCellMar>
      </w:tblPr>
      <w:tblGrid>
        <w:gridCol w:w="3331"/>
        <w:gridCol w:w="146"/>
        <w:gridCol w:w="211"/>
        <w:gridCol w:w="781"/>
        <w:gridCol w:w="166"/>
        <w:gridCol w:w="146"/>
        <w:gridCol w:w="270"/>
        <w:gridCol w:w="946"/>
        <w:gridCol w:w="166"/>
        <w:gridCol w:w="146"/>
        <w:gridCol w:w="233"/>
        <w:gridCol w:w="862"/>
        <w:gridCol w:w="2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Right-of-use assets under finance lease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Depreciation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br/>
              <w:t>Book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476,025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430,562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40,912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to owned vessels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(80,668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431,357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(40,551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390,806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six month periods ended June 30, 2026 and 2025, the Company capitalized certain fees and costs related to vessels’ regulatory requirements, including ballast water treatment system installation, exhaust gas cleaning system installation and other improvements, that amounted to $2,943 and $16,134, respectively, and are presented under the caption “Acquisition of/ additions to vessels” in the condensed Consolidated Statements of Cash Flows (see Note 12 – Transactions with related parties and affiliates).</w:t>
      </w:r>
    </w:p>
    <w:p>
      <w:pPr>
        <w:pStyle w:val="TextBody"/>
        <w:bidi w:val="0"/>
        <w:spacing w:before="240" w:after="240"/>
        <w:jc w:val="both"/>
        <w:rPr>
          <w:rFonts w:ascii="Times New Roman" w:hAnsi="Times New Roman"/>
          <w:b/>
          <w:i/>
          <w:color w:val="000000"/>
          <w:sz w:val="20"/>
        </w:rPr>
      </w:pPr>
      <w:r>
        <w:rPr>
          <w:rFonts w:ascii="Times New Roman" w:hAnsi="Times New Roman"/>
          <w:b/>
          <w:i/>
          <w:color w:val="000000"/>
          <w:sz w:val="20"/>
        </w:rPr>
        <w:t>Acquisition of Vessels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2026</w:t>
      </w:r>
    </w:p>
    <w:p>
      <w:pPr>
        <w:pStyle w:val="TextBody"/>
        <w:bidi w:val="0"/>
        <w:jc w:val="both"/>
        <w:rPr>
          <w:rFonts w:ascii="Times New Roman" w:hAnsi="Times New Roman"/>
          <w:color w:val="000000"/>
          <w:sz w:val="20"/>
        </w:rPr>
      </w:pPr>
      <w:r>
        <w:rPr>
          <w:rFonts w:ascii="Times New Roman" w:hAnsi="Times New Roman"/>
          <w:color w:val="000000"/>
          <w:sz w:val="20"/>
        </w:rPr>
        <w:t>During the six month period ended June 30, 2026, Navios Partners took delivery of four 2026-built vessels (one 7,900 TEU containership and three Aframax/LR2 tanker vessels) from unrelated third parties for an aggregate acquisition cost of $324,780 (including $38,280 capitalized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NAVIOS MARITIME PARTNERS L.P.</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(Expressed in thousands of U.S. Dollars except unit and per unit data)</w:t>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six month period ended June 30, 2026, Navios Partners took delivery of a 2026-built MR2 product tanker vessel of 49,996 dwt from an unrelated third party by entering into a ten-year bareboat charter-in agreement, which provides for purchase options with de-escalating purchase prices. Navios Partners accounted for the bareboat charter-in agreement as a finance lease, and recognized a right-of-use asset at $48,078, being an amount equal to the initial measurement of the finance lease liability, including capitalized expenses, (see Note 6 – Borrowings), increased by the amount of $8,557, which was prepaid before the lease commencement.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six month period ended June 30, 2026, Navios Partners paid an aggregate amount of $45,136 to acquire from unrelated third parties three Kamsarmax vessels, which were previously accounted for as right-of-use assets under finance leases. The Company derecognized the right-of-use assets under the finance leases and recognized the vessels at an aggregate cost of $81,077.</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six month period ended June 30, 2025, Navios Partners took delivery of five 2025-built vessels (two 7,700 TEU containerships and three Aframax/LR2 tanker vessels) from unrelated third parties for an aggregate acquisition cost of $464,612 (including $49,934 capitalized expenses).</w:t>
      </w:r>
    </w:p>
    <w:p>
      <w:pPr>
        <w:pStyle w:val="TextBody"/>
        <w:bidi w:val="0"/>
        <w:spacing w:before="240" w:after="240"/>
        <w:jc w:val="both"/>
        <w:rPr>
          <w:rFonts w:ascii="Times New Roman" w:hAnsi="Times New Roman"/>
          <w:b/>
          <w:i/>
          <w:color w:val="000000"/>
          <w:sz w:val="20"/>
        </w:rPr>
      </w:pPr>
      <w:r>
        <w:rPr>
          <w:rFonts w:ascii="Times New Roman" w:hAnsi="Times New Roman"/>
          <w:b/>
          <w:i/>
          <w:color w:val="000000"/>
          <w:sz w:val="20"/>
        </w:rPr>
        <w:t>Sale of Vessels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2026</w:t>
      </w:r>
    </w:p>
    <w:p>
      <w:pPr>
        <w:pStyle w:val="TextBody"/>
        <w:bidi w:val="0"/>
        <w:jc w:val="both"/>
        <w:rPr>
          <w:rFonts w:ascii="Times New Roman" w:hAnsi="Times New Roman"/>
          <w:color w:val="000000"/>
          <w:sz w:val="20"/>
        </w:rPr>
      </w:pPr>
      <w:r>
        <w:rPr>
          <w:rFonts w:ascii="Times New Roman" w:hAnsi="Times New Roman"/>
          <w:color w:val="000000"/>
          <w:sz w:val="20"/>
        </w:rPr>
        <w:t>During the six month period ended June 30, 2026, Navios Partners sold four vessels to unrelated third parties for an aggregate net sale price of $122,978. Following the sale of the above vessels, an aggregate gain of $41,536 (including the remaining carrying balance of drydock and special survey cost of $3,995) is presented under the caption “Gain/ (loss) on sale of vessels, net” in the condensed Consolidated Statements of Comprehensive Income. This amount includes an impairment loss of $1,319 recognized during the first quarter of 2026 in connection with the intention to sell a 2006-built Panamax vessel of 75,356 dwt, as discussed below, with the sale completed during the second quarter of 2026.</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2025</w:t>
      </w:r>
    </w:p>
    <w:p>
      <w:pPr>
        <w:pStyle w:val="TextBody"/>
        <w:bidi w:val="0"/>
        <w:spacing w:before="0" w:after="283"/>
        <w:jc w:val="both"/>
        <w:rPr>
          <w:rFonts w:ascii="Times New Roman" w:hAnsi="Times New Roman"/>
          <w:color w:val="000000"/>
          <w:sz w:val="20"/>
        </w:rPr>
      </w:pPr>
      <w:r>
        <w:rPr>
          <w:rFonts w:ascii="Times New Roman" w:hAnsi="Times New Roman"/>
          <w:color w:val="000000"/>
          <w:sz w:val="20"/>
        </w:rPr>
        <w:t>During the six month period ended June 30, 2025, Navios Partners sold three vessels to unrelated third parties for an aggregate net sale price of $33,717. Following the sale of such vessels and the classification of a vessel as held for sale, as discussed below, an aggregate loss of $329 (including the remaining carrying balance of drydock and special survey cost of $2,175 and the straight line asset associated with the vessel held for sale of $2,245) is presented under the caption “Gain/ (loss) on sale of vessels, net” in the condensed Consolidated Statements of Comprehensive Income. This amount includes an impairment loss of $2,992 in connection with the classification of a 2009-built transhipper vessel of 57,573 dwt as held for sale. This amount also includes an impairment loss of $3,790, recognized upon the classification of a 2006-built Panamax vessel of 76,596 dwt as held for sale as of March 31, 2025, with the sale completed during the three month period ended June 30, 2025.</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Vessels “agreed to be sold”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2026</w:t>
      </w:r>
    </w:p>
    <w:p>
      <w:pPr>
        <w:pStyle w:val="TextBody"/>
        <w:bidi w:val="0"/>
        <w:spacing w:before="0" w:after="283"/>
        <w:jc w:val="both"/>
        <w:rPr>
          <w:rFonts w:ascii="Times New Roman" w:hAnsi="Times New Roman"/>
          <w:color w:val="000000"/>
          <w:sz w:val="20"/>
        </w:rPr>
      </w:pPr>
      <w:r>
        <w:rPr>
          <w:rFonts w:ascii="Times New Roman" w:hAnsi="Times New Roman"/>
          <w:color w:val="000000"/>
          <w:sz w:val="20"/>
        </w:rPr>
        <w:t>During the six month period ended June 30, 2026, Navios Partners agreed to sell a 2009-built VLCC tanker of 296,945 dwt to an unrelated third party. The gross sale price of the above vessel amounted to $63,500. The Company has performed an assessment based on provisions of ASC 360 and concluded that the held for sale criteria were not met and the vessel was not classified as held for sale as of June 30, 2026. The sale was completed during the third quarter of 2026 (see Note 15 – Subsequent events).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2025</w:t>
      </w:r>
    </w:p>
    <w:p>
      <w:pPr>
        <w:pStyle w:val="TextBody"/>
        <w:bidi w:val="0"/>
        <w:jc w:val="both"/>
        <w:rPr>
          <w:rFonts w:ascii="Times New Roman" w:hAnsi="Times New Roman"/>
          <w:color w:val="000000"/>
          <w:sz w:val="20"/>
        </w:rPr>
      </w:pPr>
      <w:r>
        <w:rPr>
          <w:rFonts w:ascii="Times New Roman" w:hAnsi="Times New Roman"/>
          <w:color w:val="000000"/>
          <w:sz w:val="20"/>
        </w:rPr>
        <w:t>During the six month period ended June 30, 2025, Navios Partners agreed to sell a 2009-built 4,250 TEU containership and a 2008-built 4,730 TEU containership to unrelated third parties. The aggregate gross sale price of the above vessels amounted to $65,500. The Company had performed an assessment based on provisions of ASC 360 and concluded that the held for sale criteria were not met and the vessels were not classified as held for sale as of June 30, 2025. The sale of the 2009-built 4,250 TEU containership was completed during the fourth quarter of 2025 and the sale of the 2008-built 4,730 TEU containership was completed during the first quarter of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NAVIOS MARITIME PARTNERS L.P.</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(Expressed in thousands of U.S. Dollars except unit and per unit data)</w:t>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as of June 30, 2025, the Company had initiated a process to sell a 2009-built transhipper vessel of 57,573 dwt to Navios South American Logistics Inc. (“NSAL”). The Company entered into a definitive agreement with NSAL in July 2025. The transaction was negotiated and approved by the Conflicts Committee of Navios Partners (see Note 12 – Transactions with related parties and affiliates). As of June 30, 2025, the above vessel had been classified as held for sale, according to the provisions of ASC 360, as the relevant criteria for the classification were met and was presented under the caption “Assets held for sale” in the condensed Consolidated Balance Sheets, measured at the lower of carrying value and fair value less costs to sell (see Note 8 – Fair value of financial instruments). The inventories associated with the vessel held for sale of $141 were presented under the caption “Assets held for sale” in the condensed Consolidated Balance Sheets. The sale was completed on July 30, 2025.</w:t>
      </w:r>
    </w:p>
    <w:p>
      <w:pPr>
        <w:pStyle w:val="TextBody"/>
        <w:bidi w:val="0"/>
        <w:spacing w:before="240" w:after="240"/>
        <w:jc w:val="both"/>
        <w:rPr>
          <w:rFonts w:ascii="Times New Roman" w:hAnsi="Times New Roman"/>
          <w:b/>
          <w:i/>
          <w:color w:val="000000"/>
          <w:sz w:val="20"/>
        </w:rPr>
      </w:pPr>
      <w:r>
        <w:rPr>
          <w:rFonts w:ascii="Times New Roman" w:hAnsi="Times New Roman"/>
          <w:b/>
          <w:i/>
          <w:color w:val="000000"/>
          <w:sz w:val="20"/>
        </w:rPr>
        <w:t>Vessels impairment loss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2026</w:t>
      </w:r>
    </w:p>
    <w:p>
      <w:pPr>
        <w:pStyle w:val="TextBody"/>
        <w:bidi w:val="0"/>
        <w:jc w:val="both"/>
        <w:rPr>
          <w:rFonts w:ascii="Times New Roman" w:hAnsi="Times New Roman"/>
          <w:color w:val="000000"/>
          <w:sz w:val="20"/>
        </w:rPr>
      </w:pPr>
      <w:r>
        <w:rPr>
          <w:rFonts w:ascii="Times New Roman" w:hAnsi="Times New Roman"/>
          <w:color w:val="000000"/>
          <w:sz w:val="20"/>
        </w:rPr>
        <w:t>As at June 30, 2026, Navios Partners assessed whether impairment indicators for any of its long-lived assets existed and concluded that no such indicators were present.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at March 31, 2026, Navios Partners assessed whether impairment indicators for any of its long-lived assets existed and concluded that such indicators were present for a 2006-built Panamax vessel of 75,356 dwt, mainly due to the Company’s intention to sell the vessel. As at March 31, 2026, a recoverability test for this vessel was performed and an impairment loss of $1,319 was recognized, as the carrying amount of the asset group was not recoverable since it exceeded its fair value (see Note 8 – Fair value of financial instruments). </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2025</w:t>
      </w:r>
    </w:p>
    <w:p>
      <w:pPr>
        <w:pStyle w:val="TextBody"/>
        <w:bidi w:val="0"/>
        <w:jc w:val="both"/>
        <w:rPr>
          <w:rFonts w:ascii="Times New Roman" w:hAnsi="Times New Roman"/>
          <w:color w:val="000000"/>
          <w:sz w:val="20"/>
        </w:rPr>
      </w:pPr>
      <w:r>
        <w:rPr>
          <w:rFonts w:ascii="Times New Roman" w:hAnsi="Times New Roman"/>
          <w:color w:val="000000"/>
          <w:sz w:val="20"/>
        </w:rPr>
        <w:t>As at June 30, 2025, Navios Partners assessed whether impairment indicators for any of its long-lived assets existed and concluded that no such indicators were present. During the second quarter of 2025, an impairment loss of $2,992 was recognized in connection with the classification of a 2009-built transhipper vessel of 57,573 dwt as held for sale, as described above, as the carrying amount of the asset group was not recoverable and exceeded its fair value less costs to sell (see Note 8 – Fair value of financial instruments).</w:t>
      </w:r>
    </w:p>
    <w:p>
      <w:pPr>
        <w:pStyle w:val="TextBody"/>
        <w:bidi w:val="0"/>
        <w:spacing w:before="12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at March 31, 2025, Navios Partners assessed whether impairment indicators for any of its long-lived assets existed and concluded that no such indicators were present. During the three month period ended March 31, 2025, an impairment loss of $3,790 was recognized in connection with the committed sale of a 2006-built Panamax vessel of 76,596 dwt, which was completed in April 2025, as the carrying amount of the asset group was not recoverable and exceeded its fair value less costs to sell (see Note 8 – Fair value of financial instruments).</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5 – INTANGIBLE ASSETS AND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Intangible assets as of June 30, 2026 and December 31, 2025 consisted of the following:</w:t>
      </w:r>
    </w:p>
    <w:p>
      <w:pPr>
        <w:pStyle w:val="TextBody"/>
        <w:bidi w:val="0"/>
        <w:jc w:val="both"/>
        <w:rPr/>
      </w:pPr>
      <w:r>
        <w:rPr/>
        <w:t> </w:t>
      </w:r>
    </w:p>
    <w:tbl>
      <w:tblPr>
        <w:tblW w:w="8285" w:type="dxa"/>
        <w:jc w:val="left"/>
        <w:tblInd w:w="0" w:type="dxa"/>
        <w:tblLayout w:type="fixed"/>
        <w:tblCellMar>
          <w:top w:w="28" w:type="dxa"/>
          <w:left w:w="28" w:type="dxa"/>
          <w:bottom w:w="28" w:type="dxa"/>
          <w:right w:w="28" w:type="dxa"/>
        </w:tblCellMar>
      </w:tblPr>
      <w:tblGrid>
        <w:gridCol w:w="3661"/>
        <w:gridCol w:w="146"/>
        <w:gridCol w:w="211"/>
        <w:gridCol w:w="781"/>
        <w:gridCol w:w="146"/>
        <w:gridCol w:w="146"/>
        <w:gridCol w:w="249"/>
        <w:gridCol w:w="997"/>
        <w:gridCol w:w="166"/>
        <w:gridCol w:w="146"/>
        <w:gridCol w:w="357"/>
        <w:gridCol w:w="1068"/>
        <w:gridCol w:w="21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Book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Favorable lease terms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Favorable lease terms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165,230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(165,097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Amortization expense of favorable lease terms for each of the periods ended June 30, 2026 and 2025 is presented in the following table: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01"/>
        <w:gridCol w:w="146"/>
        <w:gridCol w:w="553"/>
        <w:gridCol w:w="1657"/>
        <w:gridCol w:w="166"/>
        <w:gridCol w:w="146"/>
        <w:gridCol w:w="553"/>
        <w:gridCol w:w="1657"/>
        <w:gridCol w:w="166"/>
        <w:gridCol w:w="146"/>
        <w:gridCol w:w="411"/>
        <w:gridCol w:w="1232"/>
        <w:gridCol w:w="166"/>
        <w:gridCol w:w="146"/>
        <w:gridCol w:w="411"/>
        <w:gridCol w:w="1232"/>
        <w:gridCol w:w="216"/>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 Period Ended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 Period Ended 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 </w:t>
              <w:br/>
              <w:t>Period Ended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 </w:t>
              <w:br/>
              <w:t>Period Ended June 30, 2025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(8,660</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(8,660</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NAVIOS MARITIME PARTNERS L.P.</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(Expressed in thousands of U.S. Dollars except unit and per unit data)</w:t>
      </w:r>
    </w:p>
    <w:p>
      <w:pPr>
        <w:pStyle w:val="TextBody"/>
        <w:bidi w:val="0"/>
        <w:jc w:val="center"/>
        <w:rPr/>
      </w:pPr>
      <w:r>
        <w:rPr/>
        <w:t> </w:t>
      </w:r>
    </w:p>
    <w:p>
      <w:pPr>
        <w:pStyle w:val="TextBody"/>
        <w:bidi w:val="0"/>
        <w:jc w:val="both"/>
        <w:rPr>
          <w:rFonts w:ascii="Times New Roman" w:hAnsi="Times New Roman"/>
          <w:color w:val="000000"/>
          <w:sz w:val="20"/>
        </w:rPr>
      </w:pPr>
      <w:bookmarkStart w:id="12" w:name="page33"/>
      <w:bookmarkEnd w:id="12"/>
      <w:r>
        <w:rPr>
          <w:rFonts w:ascii="Times New Roman" w:hAnsi="Times New Roman"/>
          <w:color w:val="000000"/>
          <w:sz w:val="20"/>
        </w:rPr>
        <w:t>Intangible assets subject to amortization are amortized using the straight-line method over their estimated useful lives to their estimated residual value of zero. As of June 30, 2026, the weighted average useful life of the remaining favorable lease term was 0.02 years. The remaining net book value of the intangible asset of $133 as of June 30, 2026 is expected to be fully amortized during the third quarter of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Intangible liabilities as of June 30, 2026 and December 31, 2025 consisted of the following:</w:t>
      </w:r>
    </w:p>
    <w:p>
      <w:pPr>
        <w:pStyle w:val="TextBody"/>
        <w:bidi w:val="0"/>
        <w:jc w:val="both"/>
        <w:rPr/>
      </w:pPr>
      <w:r>
        <w:rPr/>
        <w:t> </w:t>
      </w:r>
    </w:p>
    <w:tbl>
      <w:tblPr>
        <w:tblW w:w="8465" w:type="dxa"/>
        <w:jc w:val="left"/>
        <w:tblInd w:w="0" w:type="dxa"/>
        <w:tblLayout w:type="fixed"/>
        <w:tblCellMar>
          <w:top w:w="28" w:type="dxa"/>
          <w:left w:w="28" w:type="dxa"/>
          <w:bottom w:w="28" w:type="dxa"/>
          <w:right w:w="28" w:type="dxa"/>
        </w:tblCellMar>
      </w:tblPr>
      <w:tblGrid>
        <w:gridCol w:w="3841"/>
        <w:gridCol w:w="146"/>
        <w:gridCol w:w="211"/>
        <w:gridCol w:w="781"/>
        <w:gridCol w:w="146"/>
        <w:gridCol w:w="146"/>
        <w:gridCol w:w="249"/>
        <w:gridCol w:w="997"/>
        <w:gridCol w:w="166"/>
        <w:gridCol w:w="146"/>
        <w:gridCol w:w="357"/>
        <w:gridCol w:w="1068"/>
        <w:gridCol w:w="21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Book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Unfavorable lease terms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Unfavorable lease terms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231,407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(231,407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Amortization income of unfavorable lease terms for each of the periods ended June 30, 2026 and 2025 is presented in the following table: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571"/>
        <w:gridCol w:w="146"/>
        <w:gridCol w:w="695"/>
        <w:gridCol w:w="1394"/>
        <w:gridCol w:w="146"/>
        <w:gridCol w:w="146"/>
        <w:gridCol w:w="578"/>
        <w:gridCol w:w="1566"/>
        <w:gridCol w:w="146"/>
        <w:gridCol w:w="146"/>
        <w:gridCol w:w="429"/>
        <w:gridCol w:w="1162"/>
        <w:gridCol w:w="146"/>
        <w:gridCol w:w="146"/>
        <w:gridCol w:w="429"/>
        <w:gridCol w:w="1162"/>
        <w:gridCol w:w="197"/>
      </w:tblGrid>
      <w:tr>
        <w:trPr/>
        <w:tc>
          <w:tcPr>
            <w:tcW w:w="1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 Period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 Period Ended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 </w:t>
              <w:br/>
              <w:t>Period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 </w:t>
              <w:br/>
              <w:t>Period Ended June 30, 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Unfavorable lease terms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5,792</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5,792</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Intangible liabilities subject to amortization are amortized using the straight-line method over their useful lives to their residual value of zero. The net book value of the intangible liabilities was fully amortized during the three month period ended June 30,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6 – BORROWINGS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Borrowings as of June 30, 2026 and December 31, 2025 consisted of the following:</w:t>
      </w:r>
    </w:p>
    <w:p>
      <w:pPr>
        <w:pStyle w:val="TextBody"/>
        <w:bidi w:val="0"/>
        <w:jc w:val="both"/>
        <w:rPr/>
      </w:pPr>
      <w:r>
        <w:rPr/>
        <w:t> </w:t>
      </w:r>
    </w:p>
    <w:tbl>
      <w:tblPr>
        <w:tblW w:w="7870" w:type="dxa"/>
        <w:jc w:val="left"/>
        <w:tblInd w:w="0" w:type="dxa"/>
        <w:tblLayout w:type="fixed"/>
        <w:tblCellMar>
          <w:top w:w="28" w:type="dxa"/>
          <w:left w:w="28" w:type="dxa"/>
          <w:bottom w:w="28" w:type="dxa"/>
          <w:right w:w="28" w:type="dxa"/>
        </w:tblCellMar>
      </w:tblPr>
      <w:tblGrid>
        <w:gridCol w:w="4201"/>
        <w:gridCol w:w="146"/>
        <w:gridCol w:w="235"/>
        <w:gridCol w:w="1040"/>
        <w:gridCol w:w="166"/>
        <w:gridCol w:w="146"/>
        <w:gridCol w:w="318"/>
        <w:gridCol w:w="1407"/>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1,130,638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1,124,761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432,477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unsecured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2,289,789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2,187,098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Bond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borrowings,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Deferred finance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Long-term borrowings,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2,046,547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1,882,221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 total borrowings, net of deferred finance costs and bond premium were $2,262,813.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Senior Unsecured Bonds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fourth quarter of 2025, Navios Partners successfully placed $300,000 of senior unsecured bonds in the Nordic bond market due November 2030 (the “2030 Bonds”). On April 29, 2026, Navios Partners completed the listing application with Euronext Oslo Børs for its 2030 Bonds, with an initial issue amount of $300,000, which commenced trading on the same date under the ticker symbol “NMM”. Net proceeds were used for general corporate purposes and for the repayment of certain secured debt facilities relating to 41 vessels. The 2030 Bonds bear interest at a fixed-rate coupon of 7.75% per annum, payable semi-annually in arrears in May and November of each year. The 2030 Bonds are callable at the Company’s option, in whole or in part, at any time on or after May 2028 at 103.875% of the nominal amount, with the call price decreasing every six months until it reaches par in May 2030. The 2030 Bonds rank ahead of the Company’s subordinated capital and rank pari passu with all other senior unsecured obligations of the Company other than obligations which are mandatorily preferred by law. During the second quarter of 2026, Navios Partners successfully completed a $30,000 tap issue of its outstanding 2030 Bonds. The tap issue was priced at 102.75% of par, resulting in a bond premium of $825.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NAVIOS MARITIME PARTNERS L.P.</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(Expressed in thousands of U.S. Dollars except unit and per unit data)</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proceeds from the tap issue were applied towards general corporate purposes. As of June 30, 2026, the outstanding balance was $330,000.</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Credit Facilities</w:t>
      </w:r>
    </w:p>
    <w:p>
      <w:pPr>
        <w:pStyle w:val="TextBody"/>
        <w:bidi w:val="0"/>
        <w:spacing w:before="240" w:after="240"/>
        <w:jc w:val="both"/>
        <w:rPr>
          <w:rFonts w:ascii="Times New Roman" w:hAnsi="Times New Roman"/>
          <w:sz w:val="20"/>
        </w:rPr>
      </w:pPr>
      <w:r>
        <w:rPr>
          <w:rFonts w:ascii="Times New Roman" w:hAnsi="Times New Roman"/>
          <w:b/>
          <w:color w:val="000000"/>
          <w:sz w:val="20"/>
        </w:rPr>
        <w:t>NORDEA BANK ABP:</w:t>
      </w:r>
      <w:r>
        <w:rPr>
          <w:rFonts w:ascii="Times New Roman" w:hAnsi="Times New Roman"/>
          <w:color w:val="000000"/>
          <w:sz w:val="20"/>
        </w:rPr>
        <w:t xml:space="preserve"> On October 6, 2025, Navios Partners entered into a credit facility with Nordea Bank ABP for a total amount of up to $68,000 for working capital purposes and to refinance the existing indebtedness of four of its vessels (divided into four tranches). During the year ended December 31, 2025, the amount of $41,000 in relation to the first two tranches was drawn. During the six month period ended June 30, 2026, the aggregate amount of $27,000 in relation to the last two tranches was drawn. As of June 30, 2026, the total outstanding balance was $63,715. The credit facility matures five years after each drawdown date and bears interest at Compounded Secured Overnight Financing Rate (“Compounded SOFR”) plus 150 bps per annum.</w:t>
      </w:r>
    </w:p>
    <w:p>
      <w:pPr>
        <w:pStyle w:val="TextBody"/>
        <w:bidi w:val="0"/>
        <w:spacing w:before="0" w:after="240"/>
        <w:jc w:val="both"/>
        <w:rPr>
          <w:rFonts w:ascii="Times New Roman" w:hAnsi="Times New Roman"/>
          <w:sz w:val="20"/>
        </w:rPr>
      </w:pPr>
      <w:r>
        <w:rPr>
          <w:rFonts w:ascii="Times New Roman" w:hAnsi="Times New Roman"/>
          <w:b/>
          <w:color w:val="000000"/>
          <w:sz w:val="20"/>
        </w:rPr>
        <w:t>BNP PARIBAS:</w:t>
      </w:r>
      <w:r>
        <w:rPr>
          <w:rFonts w:ascii="Times New Roman" w:hAnsi="Times New Roman"/>
          <w:color w:val="000000"/>
          <w:sz w:val="20"/>
        </w:rPr>
        <w:t xml:space="preserve"> On June 19, 2025, Navios Partners entered into a credit facility with BNP Paribas for a total amount of up to $227,070 in order to refinance the existing indebtedness of six of its vessels (tranche A) and finance part of the acquisition cost of three vessels, one 7,900 TEU newbuilding containership, which is currently under construction (tranche B), and two Aframax/LR2 newbuilding tanker vessels of 115,000 dwt (tranches C and D). In June 2025, the amount of $62,500 in relation to tranche A was drawn. During the fourth quarter of 2025, Navios Partners amended the existing credit facility and decreased the total amount to up to $222,270 substituting the two Aframax/LR2 newbuilding vessels with existing two vessels and refinancing their indebtedness (tranches C and D). During the same quarter, the amount of $96,170 in relation to tranches B, C and D was drawn. During the six month period ended June 30, 2026, the amount of $10,600 in relation to tranche B was drawn. As of June 30, 2026, the total outstanding balance was $153,570 and $53,000 in relation to tranche B remains to be drawn. The credit facility bears interest at Compounded SOFR plus 175 bps per annum for tranche A, which matures in the second quarter of 2030 and Compounded SOFR plus 150 bps per annum for drawn amounts of tranche B, which matures seven years after the delivery date of the vessel, tranche C, which matures in the fourth quarter of 2031 and tranche D, which matures in the second quarter of 2032.</w:t>
      </w:r>
    </w:p>
    <w:p>
      <w:pPr>
        <w:pStyle w:val="TextBody"/>
        <w:bidi w:val="0"/>
        <w:spacing w:before="0" w:after="240"/>
        <w:jc w:val="both"/>
        <w:rPr>
          <w:rFonts w:ascii="Times New Roman" w:hAnsi="Times New Roman"/>
          <w:sz w:val="20"/>
        </w:rPr>
      </w:pPr>
      <w:r>
        <w:rPr>
          <w:rFonts w:ascii="Times New Roman" w:hAnsi="Times New Roman"/>
          <w:b/>
          <w:color w:val="000000"/>
          <w:sz w:val="20"/>
        </w:rPr>
        <w:t>KFW IPEX-BANK GMBH:</w:t>
      </w:r>
      <w:r>
        <w:rPr>
          <w:rFonts w:ascii="Times New Roman" w:hAnsi="Times New Roman"/>
          <w:color w:val="000000"/>
          <w:sz w:val="20"/>
        </w:rPr>
        <w:t xml:space="preserve"> On March 18, 2025, Navios Partners entered into an export credit agency-backed facility with KFW IPEX</w:t>
      </w:r>
      <w:r>
        <w:rPr>
          <w:rFonts w:ascii="Times New Roman" w:hAnsi="Times New Roman"/>
          <w:b/>
          <w:color w:val="000000"/>
          <w:sz w:val="20"/>
        </w:rPr>
        <w:t>-</w:t>
      </w:r>
      <w:r>
        <w:rPr>
          <w:rFonts w:ascii="Times New Roman" w:hAnsi="Times New Roman"/>
          <w:color w:val="000000"/>
          <w:sz w:val="20"/>
        </w:rPr>
        <w:t>BANK GMBH for a total amount of up to $151,502 (including insurance premium) in order to finance part of the acquisition cost of two newbuilding 7,900 TEU containerships, one of which is currently under construction. During the year ended December 31, 2025 and the six month period ended June 2026, the amounts of $45,502 and $84,800, respectively, were drawn. As of June 30, 2026, the total outstanding balance was $130,302 and $21,200 remains to be drawn. The credit facility matures 12 years after the delivery date of each vessel and bears interest at Compounded SOFR plus 124 bps per annum.</w:t>
      </w:r>
    </w:p>
    <w:p>
      <w:pPr>
        <w:pStyle w:val="TextBody"/>
        <w:bidi w:val="0"/>
        <w:spacing w:before="0" w:after="240"/>
        <w:jc w:val="both"/>
        <w:rPr>
          <w:rFonts w:ascii="Times New Roman" w:hAnsi="Times New Roman"/>
          <w:sz w:val="20"/>
        </w:rPr>
      </w:pPr>
      <w:r>
        <w:rPr>
          <w:rFonts w:ascii="Times New Roman" w:hAnsi="Times New Roman"/>
          <w:b/>
          <w:color w:val="000000"/>
          <w:sz w:val="20"/>
        </w:rPr>
        <w:t>NATIONAL BANK OF GREECE S.A.:</w:t>
      </w:r>
      <w:r>
        <w:rPr>
          <w:rFonts w:ascii="Times New Roman" w:hAnsi="Times New Roman"/>
          <w:color w:val="000000"/>
          <w:sz w:val="20"/>
        </w:rPr>
        <w:t xml:space="preserve"> On September 19, 2024, Navios Partners entered into a credit facility with National Bank of Greece S.A. for a total amount of up to $130,000 (divided into two tranches) in order to refinance the existing indebtedness of six of its vessels (tranche A) and to finance part of the acquisition cost of one Aframax/ LR2 newbuilding tanker vessel (tranche B). During the year ended December 31, 2024, the amount of $81,218 in relation to tranche A was drawn. During the year ended December 31, 2025, in relation to the delivery of the 2025-built Aframax/ LR2 of 115,812 dwt, the amount of $45,000 was drawn (tranche B) and in relation to the sale of a 2010-built VLCC of 296,988 dwt, the amount of $15,365 was prepaid. During the six month period ended June 30, 2026, the aggregate amount of $24,326 was prepaid in relation to the sale of a 2008-built 4,730 TEU containership and a 2011-built VLCC of 297,491 dwt. As of June 30, 2026, the total outstanding balance was $63,720. The credit facility matures five years after each drawdown date and bears interest at Term Secured Overnight Financing Rate (“Term SOFR”) (with an option to switch to Compounded SOFR) plus 175 bps per annum and 150 bps per annum for tranche A and tranche B, respectively.</w:t>
      </w:r>
    </w:p>
    <w:p>
      <w:pPr>
        <w:pStyle w:val="TextBody"/>
        <w:bidi w:val="0"/>
        <w:spacing w:before="0" w:after="240"/>
        <w:jc w:val="both"/>
        <w:rPr>
          <w:rFonts w:ascii="Times New Roman" w:hAnsi="Times New Roman"/>
          <w:sz w:val="20"/>
        </w:rPr>
      </w:pPr>
      <w:r>
        <w:rPr>
          <w:rFonts w:ascii="Times New Roman" w:hAnsi="Times New Roman"/>
          <w:b/>
          <w:color w:val="000000"/>
          <w:sz w:val="20"/>
        </w:rPr>
        <w:t>FIRST-CITIZENS BANK &amp; TRUST COMPANY:</w:t>
      </w:r>
      <w:r>
        <w:rPr>
          <w:rFonts w:ascii="Times New Roman" w:hAnsi="Times New Roman"/>
          <w:color w:val="000000"/>
          <w:sz w:val="20"/>
        </w:rPr>
        <w:t xml:space="preserve"> On December 21, 2022, Navios Partners entered into a credit facility with First</w:t>
      </w:r>
      <w:r>
        <w:rPr>
          <w:rFonts w:ascii="Times New Roman" w:hAnsi="Times New Roman"/>
          <w:b/>
          <w:color w:val="000000"/>
          <w:sz w:val="20"/>
        </w:rPr>
        <w:t>-</w:t>
      </w:r>
      <w:r>
        <w:rPr>
          <w:rFonts w:ascii="Times New Roman" w:hAnsi="Times New Roman"/>
          <w:color w:val="000000"/>
          <w:sz w:val="20"/>
        </w:rPr>
        <w:t xml:space="preserve">Citizens Bank &amp; Trust Company for a total amount of up to $44,200 in order to refinance the existing indebtedness of three of its tanker vessels and for general corporate purposes. On January 9, 2023, the full amount was drawn. In May 2026, the outstanding balance of $24,700 was fully prepaid and refinanced.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Financial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January 2026, Navios Partners entered into sale and leaseback agreements of $36,000 with unrelated third parties for three of its vessels. Navios Partners has a purchase obligation to acquire the vessels at the end of the lease term and under ASC 842-40, the transaction was determined to be a failed sale. In accordance with ASC 842-40, the Company did not derecognize the respective vessels from its balance sheet and accounted for the amounts received under the sale and leaseback transaction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NAVIOS MARITIME PARTNERS L.P.</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(Expressed in thousands of U.S. Dollars except unit and per unit data)</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financial liability. In January 2026, the full amount was drawn. The sale and leaseback agreements mature in the first quarter of 2031 and bear interest at Term SOFR plus 190 bps per annum. As of June 30, 2026, the outstanding balance under the sale and leaseback agreements was $34,500.</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In November 2023, Navios Partners entered into sale and leaseback agreements of $175,600 with unrelated third parties in order to finance the acquisition of two 5,300 TEU newbuilding containerships and two Aframax/LR2 newbuilding tanker vessels. Navios Partners has a purchase obligation to acquire the vessels at the end of the lease term and under ASC 842-40, the transfer of the vessels was determined to be a failed sale. In accordance with ASC 842-40, Navios Partners did not derecognize the respective vessels from its balance sheet and accounted for the amounts received under the sale and leaseback transaction as a financial liability. During the year ended December 31, 2024, the Company drew a total amount of $131,750 in relation to the deliveries of three vessels, and during the year ended December 31, 2025, the remaining amount of $43,850 was drawn in relation to the delivery of the 2025-built Aframax/LR2 tanker vessel of 115,807 dwt. During the fourth quarter of 2025, Navios Partners amended its existing sale and leaseback agreements, prepaid an outstanding balance of $82,480 and released the two Aframax/LR2 tanker vessels from the sale and leaseback agreements. Under this amendment, in January 2026, Navios Partners entered into sale and leaseback agreements of $90,000 in order to finance the acquisition of two additional Αframax/LR2 newbuilding tanker vessels. During the six month period ended June 30, 2026, in relation to the deliveries of the two 2026-built Αframax/LR2 newbuilding tanker vessels, the full amount was drawn. The sale and leaseback agreements mature ten and nine years after the delivery date of the containerships and tanker vessels, respectively, and bear interest at Term SOFR plus 200 bps per annum. As of June 30, 2026, the outstanding balance under the sale and leaseback agreements was $169,258.</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May 2023, Navios Partners entered into sale and leaseback agreements of $178,000 with unrelated third parties in order to finance the acquisition of two 5,300 TEU newbuilding containerships and two Aframax/LR2 newbuilding tanker vessels. Navios Partners has a purchase option to acquire the vessels at the end of the lease term and given the fact that such exercise price is not equal to the expected fair value of each asset at the end of the lease term, under ASC 842-40, the transaction was determined to be a failed sale. In accordance with ASC 842-40, the Company did not derecognize the respective vessels from its balance sheet and accounted for the amounts received under the sale and leaseback transaction as a financial liability. During the year ended December 31, 2024, following the deliveries of the four vessels, the full amount was drawn. In September 2025, Navios Partners amended its existing sale and leaseback agreements. Following this amendment, Navios Partners exercised the early purchase option for the two Aframax/LR2 tanker vessels and prepaid the amount of $81,315. Under this amendment, Navios Partners also entered into sale and leaseback agreements of $89,000 in order to finance part of the acquisition cost of two additional Aframax/LR2 newbuilding tanker vessels. During the year ended December 31, 2025 and the six month period ended June 30, 2026, the amounts of $6,455 and $44,500, respectively, were drawn. The sale and leaseback agreements mature ten years after the delivery date of each vessel and bear interest at Term SOFR plus 210 bps per annum. As of June 30, 2026, the outstanding balance under the sale and leaseback agreements was $120,205 and $38,045 remains to be drawn.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December 2021, Navios Maritime Holdings Inc. (“Navios Holdings”) entered into a sale and leaseback agreement with an unrelated third party for $19,000 in order to finance a Capesize vessel. Navios Partners has a purchase obligation to acquire the vessel at the end of the lease term and under ASC 842-40, the transaction was determined to be a failed sale. In accordance with ASC 842-40, the Company did not derecognize the respective vessel from its balance sheet and accounted for the liability assumed under the sale and leaseback agreement as a financial liability. Following the successful placement the 2030 Bonds, during the fourth quarter of 2025, the Company declared its option to acquire the vessel. During the six month period ended June 30, 2026, following the acquisition of the vessel, the outstanding balance under the sale and leaseback agreement of $8,622 was fully prepaid.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December 2021, Navios Holdings entered into a sale and leaseback agreement with an unrelated third party for $20,000 in order to finance a Capesize vessel. Navios Partners has a purchase obligation to acquire the vessel at the end of the lease term and under ASC 842-40, the transaction was determined to be a failed sale. In accordance with ASC 842-40, the Company did not derecognize the respective vessel from its balance sheet and accounted for the liability assumed under the sale and leaseback agreement as a financial liability. Following the successful placement of the 2030 Bonds, during the fourth quarter of 2025, the Company declared its option to acquire the vessel. During the six month period ended June 30, 2026, following the acquisition of the vessel, the outstanding balance under the sale and leaseback agreement of $8,675 was fully prepaid.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February 2020, Navios Holdings entered into a sale and leaseback agreement with an unrelated third party for $35,000 in order to finance a Capesize vessel. Navios Partners has a purchase option to acquire the vessel at the end of the lease term and given the fact that such exercise price is not equal to the expected fair value of the asset at the end of the lease term, under ASC 842-40, the transaction was determined to be a failed sale. In accordance with ASC 842-40, the Company did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NAVIOS MARITIME PARTNERS L.P.</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(Expressed in thousands of U.S. Dollars except unit and per unit data)</w:t>
      </w:r>
    </w:p>
    <w:p>
      <w:pPr>
        <w:pStyle w:val="TextBody"/>
        <w:bidi w:val="0"/>
        <w:jc w:val="center"/>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not derecognize the respective vessel from its balance sheet and accounted for the liability assumed under the sale and leaseback agreement as a financial liability. Following the successful placement of the 2030 Bonds, during the fourth quarter of 2025, the Company declared its option to acquire the vessel. During the six month period ended June 30, 2026, following the acquisition of the vessel, the outstanding balance under the sale and leaseback agreement of $17,936 was fully prepaid.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November 2019, Navios Holdings entered into a sale and leaseback agreement with an unrelated third party for $33,000 in order to finance a Capesize vessel. Navios Partners has a purchase option to acquire the vessel at the end of the lease term and given the fact that such exercise price is not equal to the expected fair value of the asset at the end of the lease term, under ASC 842-40, the transaction was determined to be a failed sale. In accordance with ASC 842-40, the Company did not derecognize the respective vessel from its balance sheet and accounted for the liability assumed under the sale and leaseback agreement as a financial liability. Following the successful placement of the 2030 Bonds, during the fourth quarter of 2025, the Company declared its option to acquire the vessel. During the six month period ended June 30, 2026, following the acquisition of the vessel, the outstanding balance under the sale and leaseback agreement of $16,709 was fully prepaid.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March 31, 2018, Navios Maritime Acquisition Corporation (“Navios Acquisition”) entered into sale and leaseback agreements of $71,500 with unrelated third parties to refinance the outstanding balance of the existing facility on four product tanker vessels. Navios Acquisition has a purchase obligation to acquire the vessels at the end of the lease term and under ASC 842-40, the transaction was accounted for as a failed sale. In accordance with ASC 842-40, Navios Acquisition did not derecognize the respective vessels from its balance sheet and accounted for the amounts received under the sale and leaseback transaction as a financial liability. In April 2018, Navios Acquisition drew $71,500 under this agreement. During the year ended December 31, 2025, following the prepayment of their outstanding balance of $18,776, three vessels were released from the sale and leaseback agreements. During the six month period ended June 30, 2026, the outstanding balance under the sale and leaseback agreement of $6,162 was fully prepaid and refinanced.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Finance Lease Liabilities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On April 28, 2026, Navios Partners took delivery of the Nave Hina, a 2026-built MR2 product tanker vessel of 49,996 dwt, under a ten-year bareboat charter-in agreement. The bareboat charter-in provides for purchase options with de-escalating purchase prices starting at the end of the fourth year. The Company has performed an assessment considering the lease classification criteria under ASC 842 and concluded that the agreement is a finance lease. Consequently, the Company has recognized a finance lease liability based on the net present value of the charter-in payments including the purchase option to acquire the vessel at the end of the lease period, discounted by the Company’s incremental borrowing rate of approximately 6%. As of June 30, 2026, the outstanding balance was $32,137 and is repayable in ten years (see Note 4 – Vessels, net).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July 29, 2022, Navios Partners took delivery of the Navios Magellan II, a 2020-built Kamsarmax vessel of 82,037 dwt, for a remaining eight-year bareboat charter-in agreement. The bareboat charter-in provides for purchase options with de-escalating purchase prices. The Company has performed an assessment considering the lease classification criteria under ASC 842 and concluded that the arrangement is a finance lease. Consequently, the Company has recognized a finance lease liability amounting to $19,385 based on the net present value of the remaining charter-in payments including the purchase option to acquire the vessel at the end of the lease period, discounted by the Company’s incremental borrowing rate of approximately 6%. Following the successful placement of the 2030 Bonds, during the fourth quarter of 2025, the Company declared its option to acquire the vessel and remeasured the finance lease liability. The finance lease liability recognized at the date of remeasurement was increased by $927. The corresponding right-of-use asset under finance lease was adjusted upon remeasurement of the finance lease liability. During the six month period ended June 30, 2026, following the acquisition of the vessel, the Company prepaid in full the outstanding balance of the finance lease liability as of that date (see Note 4 – Vessels, net).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July 29, 2022, Navios Partners took delivery of the Navios Uranus, a 2019-built Kamsarmax vessel of 81,821 dwt, for a remaining seven-year bareboat charter-in agreement. The bareboat charter-in provides for purchase options with de-escalating purchase prices. The Company has performed an assessment considering the lease classification criteria under ASC 842 and concluded that the arrangement is a finance lease. Consequently, the Company has recognized a finance lease liability amounting to $17,607, based on the net present value of the remaining charter-in payments including the purchase option to acquire the vessel at the end of the lease period, discounted by the Company’s incremental borrowing rate of approximately 6%. During the six month period ended June 30, 2026, the Company declared its option to acquire the vessel and prepaid in full the outstanding balance of the finance lease liability as of that date (see Note 4 – Vessels, net).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NAVIOS MARITIME PARTNERS L.P.</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(Expressed in thousands of U.S. Dollars except unit and per unit data)</w:t>
      </w:r>
    </w:p>
    <w:p>
      <w:pPr>
        <w:pStyle w:val="TextBody"/>
        <w:bidi w:val="0"/>
        <w:jc w:val="center"/>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On July 29, 2022, Navios Partners took delivery of the Navios Felicity I, a 2020-built Kamsarmax vessel of 81,962 dwt, for a remaining seven-year bareboat charter-in agreement. The bareboat charter-in provides for purchase options with de-escalating purchase prices. The Company has performed an assessment considering the lease classification criteria under ASC 842 and concluded that the arrangement is a finance lease. Consequently, the Company has recognized a finance lease liability amounting to $17,473, based on the net present value of the remaining charter-in payments including the purchase option to acquire the vessel at the end of the lease period, discounted by the Company’s incremental borrowing rate of approximately 6%. Following the successful placement of the 2030 Bonds, during the fourth quarter of 2025, the Company declared its option to acquire the vessel and remeasured the finance lease liability. The finance lease liability recognized at the date of remeasurement was increased by $1,477. The corresponding right-of-use asset under finance lease was adjusted upon remeasurement of the finance lease liability. During the six month period ended June 30, 2026, following the acquisition of the vessel, the Company prepaid in full the outstanding balance of the finance lease liability as of that date (see Note 4 – Vessels, net).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management estimates and market conditions, the lease term of the leases is being assessed at each balance sheet date. At lease commencement, the Company determines a discount rate to calculate the present value of the lease payments so that it can determine lease classification and measure the lease liability. In determining the discount rate to be used at lease commencement, the Company used its incremental borrowing rate as there was no implicit rate included in charter-in contracts that could be readily determinable. The incremental borrowing rate is the rate that reflects the interest a lessee would have to pay to borrow funds on a collateralized basis over a similar term and in a similar economic environment.</w:t>
      </w:r>
    </w:p>
    <w:p>
      <w:pPr>
        <w:pStyle w:val="TextBody"/>
        <w:bidi w:val="0"/>
        <w:spacing w:before="0" w:after="240"/>
        <w:jc w:val="both"/>
        <w:rPr>
          <w:rFonts w:ascii="Times New Roman" w:hAnsi="Times New Roman"/>
          <w:color w:val="000000"/>
          <w:sz w:val="20"/>
        </w:rPr>
      </w:pPr>
      <w:bookmarkStart w:id="13" w:name="page36"/>
      <w:bookmarkEnd w:id="13"/>
      <w:r>
        <w:rPr>
          <w:rFonts w:ascii="Times New Roman" w:hAnsi="Times New Roman"/>
          <w:color w:val="000000"/>
          <w:sz w:val="20"/>
        </w:rPr>
        <w:t xml:space="preserve">For the six month periods ended June 30, 2026 and 2025, payments related to the finance lease liabilities amounted to $7,646 and $8,337, respectively, and are presented under the caption “Repayment of long-term debt, finance lease and financial liabilities” in the condensed Consolidated Statements of Cash Flows.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Covenants and Other Terms of Credit Facilities, Bonds and Financial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credit facilities, certain financial liabilities and the 2030 Bonds contain a number of restrictive covenants that prohibit or limit Navios Partners from, among other things: incurring or guaranteeing indebtedness; entering into affiliate transactions; charging, pledging or encumbering the vessels; changing the flag, class, management or ownership of Navios Partners’ vessels; changing the commercial and technical management of Navios Partners’ vessels; selling or changing the beneficial ownership or control of Navios Partners’ vessels; not maintaining Angeliki Frangou’s or her affiliates’ ownership in Navios Partners of at least 5.0%; and subordinating the obligations under the credit facilities to any general and administrative costs related to the vessels and the payables under the Master Management Agreement (as defined herein).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credit facilities, the 2030 Bonds and certain financial liabilities also require compliance with a number of financial covenants, including to maintain: (i) a required security ranging over 120% to 140%; (ii) minimum free consolidated liquidity in an amount equal to $500 per owned vessel and a number of vessels as defined in the Company’s credit facilities, bonds and financial liabilities; (iii) a ratio of EBITDA to interest expense of at least 2.00:1.00; (iv) a ratio of total liabilities or total debt to total assets (as defined in the Company’s credit facilities, bonds and financial liabilities) ranging from less than 0.75 to 0.80; (v) a minimum net worth of $135,000; and (vi) a debt service cover ratio for certain vessels (as defined in the Company’s credit facility) of at least 1.00:1.00.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an event of default under the credit facilities, the 2030 Bonds and certain financial liabilities if such covenants are not complied with in accordance with the terms and subject to the prepayments or cure provisions of the financing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Navios Partners was in compliance with the financial covenants in each of its credit facilities, the 2030 Bonds and certain financial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annualized weighted average interest rates of the Company’s total borrowings for the three and six month periods ended June 30, 2026, were 5.6% and 5.7%, respectively. The annualized weighted average interest rates of the Company’s total borrowings for each of the three and six month periods ended June 30, 2025, were 6.3%.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maturity table below reflects the principal payments for the next five 12-month periods and thereafter of all borrowings of Navios Partners outstanding as of June 30, 2026, based on the repayment schedules of the respective credit facilities, the 2030 Bonds, financial liabilities and finance lease liabilities.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NAVIOS MARITIME PARTNERS L.P.</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(Expressed in thousands of U.S. Dollars except unit and per unit data)</w:t>
      </w:r>
    </w:p>
    <w:p>
      <w:pPr>
        <w:pStyle w:val="TextBody"/>
        <w:bidi w:val="0"/>
        <w:jc w:val="center"/>
        <w:rPr/>
      </w:pPr>
      <w:r>
        <w:rPr/>
        <w:t> </w:t>
      </w:r>
    </w:p>
    <w:tbl>
      <w:tblPr>
        <w:tblW w:w="3175" w:type="dxa"/>
        <w:jc w:val="left"/>
        <w:tblInd w:w="0" w:type="dxa"/>
        <w:tblLayout w:type="fixed"/>
        <w:tblCellMar>
          <w:top w:w="28" w:type="dxa"/>
          <w:left w:w="28" w:type="dxa"/>
          <w:bottom w:w="28" w:type="dxa"/>
          <w:right w:w="28" w:type="dxa"/>
        </w:tblCellMar>
      </w:tblPr>
      <w:tblGrid>
        <w:gridCol w:w="1696"/>
        <w:gridCol w:w="146"/>
        <w:gridCol w:w="211"/>
        <w:gridCol w:w="931"/>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522,407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2032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834,875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2,289,789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7 – INTEREST EXPENSE AND FINANCE COST,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expense and finance cost, net for the three and six month periods ended June 30, 2026 and 2025 consisted of the following: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643"/>
        <w:gridCol w:w="146"/>
        <w:gridCol w:w="412"/>
        <w:gridCol w:w="1322"/>
        <w:gridCol w:w="166"/>
        <w:gridCol w:w="146"/>
        <w:gridCol w:w="412"/>
        <w:gridCol w:w="1322"/>
        <w:gridCol w:w="166"/>
        <w:gridCol w:w="146"/>
        <w:gridCol w:w="316"/>
        <w:gridCol w:w="1103"/>
        <w:gridCol w:w="166"/>
        <w:gridCol w:w="146"/>
        <w:gridCol w:w="327"/>
        <w:gridCol w:w="1050"/>
        <w:gridCol w:w="216"/>
      </w:tblGrid>
      <w:tr>
        <w:trPr/>
        <w:tc>
          <w:tcPr>
            <w:tcW w:w="2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 Period Ended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 Period Ended 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 </w:t>
              <w:br/>
              <w:t>Period Ended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 </w:t>
              <w:br/>
              <w:t>Period Ended June 30, 2025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incurred on credit facilities and 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59,092</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incurred on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incurred on senior unsecured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capitalized related to deposits for vessel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and write-off of deferred finance costs and bond premium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3,899</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effect of long-term assets and other finance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interest expense and finance cost,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29,321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33,485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59,920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66,995</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expense incurred on deposits for vessel acquisitions was initially capitalized under the caption “Deposits for vessel acquisitions” in the condensed Consolidated Balance Sheets.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8 – FAIR VALUE OF 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carrying amounts of many of Navios Partners’ financial instruments, including accounts receivable and accounts payable approximate their fair value due primarily to the short-term maturity of the related instruments.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methods and assumptions were used to estimate the fair value of each class of financial instrument:</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Cash and cash equivalents: </w:t>
      </w:r>
      <w:r>
        <w:rPr>
          <w:rFonts w:ascii="Times New Roman" w:hAnsi="Times New Roman"/>
          <w:color w:val="000000"/>
          <w:sz w:val="20"/>
        </w:rPr>
        <w:t>The carrying amounts reported in the condensed Consolidated Balance Sheets for interest bearing deposits approximate their fair value because of the short maturity of these deposits.</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Restricted cash: </w:t>
      </w:r>
      <w:r>
        <w:rPr>
          <w:rFonts w:ascii="Times New Roman" w:hAnsi="Times New Roman"/>
          <w:color w:val="000000"/>
          <w:sz w:val="20"/>
        </w:rPr>
        <w:t>The carrying amounts reported in the condensed Consolidated Balance Sheets for interest bearing deposits approximate their fair value because of the short maturity of these deposits.</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Other investments: </w:t>
      </w:r>
      <w:r>
        <w:rPr>
          <w:rFonts w:ascii="Times New Roman" w:hAnsi="Times New Roman"/>
          <w:color w:val="000000"/>
          <w:sz w:val="20"/>
        </w:rPr>
        <w:t>The carrying amounts reported in the condensed Consolidated Balance Sheets for interest bearing deposits approximate their fair value because of the short maturity of these deposits.</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Amounts due from related parties, short-term: </w:t>
      </w:r>
      <w:r>
        <w:rPr>
          <w:rFonts w:ascii="Times New Roman" w:hAnsi="Times New Roman"/>
          <w:color w:val="000000"/>
          <w:sz w:val="20"/>
        </w:rPr>
        <w:t>The carrying amount of due from related parties, short-term reported in the condensed Consolidated Balance Sheets approximates its fair value due to the short-term nature of these receivables.</w:t>
      </w:r>
    </w:p>
    <w:p>
      <w:pPr>
        <w:pStyle w:val="TextBody"/>
        <w:bidi w:val="0"/>
        <w:spacing w:before="240" w:after="283"/>
        <w:jc w:val="both"/>
        <w:rPr>
          <w:rFonts w:ascii="Times New Roman" w:hAnsi="Times New Roman"/>
          <w:sz w:val="20"/>
        </w:rPr>
      </w:pPr>
      <w:r>
        <w:rPr>
          <w:rFonts w:ascii="Times New Roman" w:hAnsi="Times New Roman"/>
          <w:b/>
          <w:color w:val="000000"/>
          <w:sz w:val="20"/>
        </w:rPr>
        <w:t>Amounts due from related parties, long-term:</w:t>
      </w:r>
      <w:r>
        <w:rPr>
          <w:rFonts w:ascii="Times New Roman" w:hAnsi="Times New Roman"/>
          <w:color w:val="000000"/>
          <w:sz w:val="20"/>
        </w:rPr>
        <w:t xml:space="preserve"> The carrying amount of due from related parties, long-term reported in the condensed Consolidated Balance Sheets approximates its fair value as it represents the net present value of the related receivable.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NAVIOS MARITIME PARTNERS L.P.</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(Expressed in thousands of U.S. Dollars except unit and per unit data)</w:t>
      </w:r>
    </w:p>
    <w:p>
      <w:pPr>
        <w:pStyle w:val="TextBody"/>
        <w:bidi w:val="0"/>
        <w:jc w:val="center"/>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Amounts due to related parties, short-term: </w:t>
      </w:r>
      <w:r>
        <w:rPr>
          <w:rFonts w:ascii="Times New Roman" w:hAnsi="Times New Roman"/>
          <w:color w:val="000000"/>
          <w:sz w:val="20"/>
        </w:rPr>
        <w:t>The carrying amount of due to related parties, short-term reported in the condensed Consolidated Balance Sheets approximates its fair value due to the short-term nature of these payables.</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Senior unsecured bonds, net: </w:t>
      </w:r>
      <w:r>
        <w:rPr>
          <w:rFonts w:ascii="Times New Roman" w:hAnsi="Times New Roman"/>
          <w:color w:val="000000"/>
          <w:sz w:val="20"/>
        </w:rPr>
        <w:t>The book value has been adjusted to reflect the net presentation of deferred finance costs and bond premium. The 2030 Bonds are a fixed-rate borrowing and its carrying value approximates its fair value.</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Credit facilities and financial liabilities, including current portion, net: </w:t>
      </w:r>
      <w:r>
        <w:rPr>
          <w:rFonts w:ascii="Times New Roman" w:hAnsi="Times New Roman"/>
          <w:color w:val="000000"/>
          <w:sz w:val="20"/>
        </w:rPr>
        <w:t>The book value has been adjusted to reflect the net presentation of deferred finance costs. The outstanding balance of the floating rate credit facilities and financial liabilities continues to approximate its fair value, excluding the effect of any deferred finance costs.</w:t>
      </w:r>
    </w:p>
    <w:p>
      <w:pPr>
        <w:pStyle w:val="TextBody"/>
        <w:bidi w:val="0"/>
        <w:spacing w:before="240" w:after="283"/>
        <w:jc w:val="both"/>
        <w:rPr>
          <w:rFonts w:ascii="Times New Roman" w:hAnsi="Times New Roman"/>
          <w:sz w:val="20"/>
        </w:rPr>
      </w:pPr>
      <w:r>
        <w:rPr>
          <w:rFonts w:ascii="Times New Roman" w:hAnsi="Times New Roman"/>
          <w:b/>
          <w:color w:val="000000"/>
          <w:sz w:val="20"/>
        </w:rPr>
        <w:t>Fair value of derivatives, including current portion</w:t>
      </w:r>
      <w:r>
        <w:rPr>
          <w:rFonts w:ascii="Times New Roman" w:hAnsi="Times New Roman"/>
          <w:color w:val="000000"/>
          <w:sz w:val="20"/>
        </w:rPr>
        <w:t>: The carrying amounts reported in the condensed Consolidated Balance Sheets for interest rate swap agreements represent their fair value.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estimated fair values of the Navios Partners’ financial instruments are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104"/>
        <w:gridCol w:w="146"/>
        <w:gridCol w:w="211"/>
        <w:gridCol w:w="991"/>
        <w:gridCol w:w="166"/>
        <w:gridCol w:w="146"/>
        <w:gridCol w:w="211"/>
        <w:gridCol w:w="991"/>
        <w:gridCol w:w="166"/>
        <w:gridCol w:w="146"/>
        <w:gridCol w:w="211"/>
        <w:gridCol w:w="991"/>
        <w:gridCol w:w="166"/>
        <w:gridCol w:w="146"/>
        <w:gridCol w:w="211"/>
        <w:gridCol w:w="991"/>
        <w:gridCol w:w="211"/>
      </w:tblGrid>
      <w:tr>
        <w:trPr/>
        <w:tc>
          <w:tcPr>
            <w:tcW w:w="4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Book</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Book</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w:t>
              <w:br/>
              <w:t>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due from related parties, 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due from related parties,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due to related parties, 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unsecured bonds,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facilities and financial liabilities, including current portion,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(1,557,238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derivatives, including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60" w:after="283"/>
        <w:jc w:val="both"/>
        <w:rPr>
          <w:rFonts w:ascii="Times New Roman" w:hAnsi="Times New Roman"/>
          <w:b/>
          <w:color w:val="000000"/>
          <w:sz w:val="20"/>
        </w:rPr>
      </w:pPr>
      <w:bookmarkStart w:id="14" w:name="page38"/>
      <w:bookmarkEnd w:id="14"/>
      <w:r>
        <w:rPr>
          <w:rFonts w:ascii="Times New Roman" w:hAnsi="Times New Roman"/>
          <w:b/>
          <w:color w:val="000000"/>
          <w:sz w:val="20"/>
        </w:rPr>
        <w:t>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estimated fair value of the Company’s financial instruments that are not measured at fair value on a recurring basis, categorized based upon the fair value hierarchy, are as follows: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Level I: Inputs are unadjusted, quoted prices for identical assets or liabilities in active markets that the Company has the ability to access. Valuation of these items does not entail a significant amount of judgment.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Level II: Inputs other than quoted prices included in Level I that are observable for the asset or liability through corroboration with market data at the measurement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Level III: Inputs that are unobservable. The Company did not use any Level III inputs as of June 30, 2026 and December 31,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693"/>
        <w:gridCol w:w="146"/>
        <w:gridCol w:w="211"/>
        <w:gridCol w:w="991"/>
        <w:gridCol w:w="166"/>
        <w:gridCol w:w="146"/>
        <w:gridCol w:w="211"/>
        <w:gridCol w:w="841"/>
        <w:gridCol w:w="166"/>
        <w:gridCol w:w="146"/>
        <w:gridCol w:w="211"/>
        <w:gridCol w:w="991"/>
        <w:gridCol w:w="166"/>
        <w:gridCol w:w="146"/>
        <w:gridCol w:w="294"/>
        <w:gridCol w:w="487"/>
        <w:gridCol w:w="193"/>
      </w:tblGrid>
      <w:tr>
        <w:trPr/>
        <w:tc>
          <w:tcPr>
            <w:tcW w:w="4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6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as at June 30, 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II</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III</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due from related parties, 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due from related parties,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due to related parties, 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unsecured bonds,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Credit facilities and financial liabilities, including current portion, net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NAVIOS MARITIME PARTNERS L.P.</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(Expressed in thousands of U.S. Dollars except unit and per unit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693"/>
        <w:gridCol w:w="146"/>
        <w:gridCol w:w="211"/>
        <w:gridCol w:w="991"/>
        <w:gridCol w:w="166"/>
        <w:gridCol w:w="146"/>
        <w:gridCol w:w="211"/>
        <w:gridCol w:w="841"/>
        <w:gridCol w:w="166"/>
        <w:gridCol w:w="146"/>
        <w:gridCol w:w="211"/>
        <w:gridCol w:w="991"/>
        <w:gridCol w:w="166"/>
        <w:gridCol w:w="146"/>
        <w:gridCol w:w="294"/>
        <w:gridCol w:w="487"/>
        <w:gridCol w:w="193"/>
      </w:tblGrid>
      <w:tr>
        <w:trPr/>
        <w:tc>
          <w:tcPr>
            <w:tcW w:w="4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6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as at December 31, 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II</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III</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due from related parties, 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due from related parties,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due to related parties, 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unsecured bonds,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Credit facilities and financial liabilities, including current portion, net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 xml:space="preserve">The fair value of the Company’s credit facilities and financial liabilities is estimated based on currently available credit facilities, financial liabilities, interest rate and remaining maturities as well as taking into account the Company’s creditworthiness.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As at March 31, 2026, the estimated fair value of the Company’s vessel measured at fair value on a non-recurring basis, was based on the concluded sale price and was categorized based upon the fair value hierarchy as follows:</w:t>
      </w:r>
    </w:p>
    <w:tbl>
      <w:tblPr>
        <w:tblW w:w="5853" w:type="dxa"/>
        <w:jc w:val="left"/>
        <w:tblInd w:w="0" w:type="dxa"/>
        <w:tblLayout w:type="fixed"/>
        <w:tblCellMar>
          <w:top w:w="28" w:type="dxa"/>
          <w:left w:w="28" w:type="dxa"/>
          <w:bottom w:w="28" w:type="dxa"/>
          <w:right w:w="28" w:type="dxa"/>
        </w:tblCellMar>
      </w:tblPr>
      <w:tblGrid>
        <w:gridCol w:w="1066"/>
        <w:gridCol w:w="146"/>
        <w:gridCol w:w="230"/>
        <w:gridCol w:w="738"/>
        <w:gridCol w:w="159"/>
        <w:gridCol w:w="159"/>
        <w:gridCol w:w="267"/>
        <w:gridCol w:w="438"/>
        <w:gridCol w:w="159"/>
        <w:gridCol w:w="159"/>
        <w:gridCol w:w="230"/>
        <w:gridCol w:w="738"/>
        <w:gridCol w:w="159"/>
        <w:gridCol w:w="159"/>
        <w:gridCol w:w="324"/>
        <w:gridCol w:w="531"/>
        <w:gridCol w:w="19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as at 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II</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III</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Vessels,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10,088</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10,088</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As at June 30 and March 31, 2025, the estimated fair value of the Company’s vessels measured at fair value on a non-recurring basis was categorized based upon the applicable fair value hierarchy. The fair value as at June 30, 2025 was determined based on a third party valuation report and the fair value as at March 31, 2025 was determined based on the concluded sale price.</w:t>
      </w:r>
    </w:p>
    <w:tbl>
      <w:tblPr>
        <w:tblW w:w="6354" w:type="dxa"/>
        <w:jc w:val="left"/>
        <w:tblInd w:w="0" w:type="dxa"/>
        <w:tblLayout w:type="fixed"/>
        <w:tblCellMar>
          <w:top w:w="28" w:type="dxa"/>
          <w:left w:w="28" w:type="dxa"/>
          <w:bottom w:w="28" w:type="dxa"/>
          <w:right w:w="28" w:type="dxa"/>
        </w:tblCellMar>
      </w:tblPr>
      <w:tblGrid>
        <w:gridCol w:w="1681"/>
        <w:gridCol w:w="146"/>
        <w:gridCol w:w="221"/>
        <w:gridCol w:w="708"/>
        <w:gridCol w:w="153"/>
        <w:gridCol w:w="153"/>
        <w:gridCol w:w="266"/>
        <w:gridCol w:w="439"/>
        <w:gridCol w:w="153"/>
        <w:gridCol w:w="153"/>
        <w:gridCol w:w="221"/>
        <w:gridCol w:w="708"/>
        <w:gridCol w:w="153"/>
        <w:gridCol w:w="153"/>
        <w:gridCol w:w="322"/>
        <w:gridCol w:w="533"/>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as at 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II</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III</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Vessel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as at 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II</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III</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Vessel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8,051</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8,051</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Derivative Instruments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In February 2025, Navios Partners entered into interest rate swaps with a commercial bank for a notional amount of $87,860 (the “Swap Transaction”) to hedge the interest rate of its existing credit facility. Under the terms of the Swap Transaction, Navios Partners pays a fixed rate of 412 bps per annum and receives a floating rate based on the three month average of the daily Compounded SOFR. No additional collateral is required under the terms of the Swap Transaction.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Swap Transaction is designated as an accounting hedge of the variability in cash flows associated with a forecasted transaction (cash flow hedge) to address the Company’s exposure to variability in expected future cash flows arising from interest rate fluctuations. In accordance with ASC 815, the Company completed the required formal hedge documentation at the inception of the hedging relationship. As a result, the Swap Transaction qualifies for hedge accounting. Changes in the fair value of the Swap Transaction that are determined to be effective are presented under the caption “Accumulated Other Comprehensive Loss” in the condensed Consolidated Balance Sheets and condensed Consolidated Statements of Changes in Partners’ Capital.</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As of June 30, 2026 and December 31, 2025, the fair value of the Swap Transaction amounted to an accumulated loss of $565 and $2,261, respectively. As of June 30, 2026, the amounts of $189 and $376 are presented under the captions “Fair value of derivatives, current” and “Fair value of derivatives, non-current”, respectively, in the condensed Consolidated Balance Sheets. As of December 31, 2025, the amounts of $646 and $1,615 are presented under the captions “Fair value of derivatives, current” and “Fair value of derivatives, non-current”, respectively, in the condensed Consolidated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NAVIOS MARITIME PARTNERS L.P.</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(Expressed in thousands of U.S. Dollars except unit and per unit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presents the terms of the Swap Transaction and the respective fair value amount as of June 30, 2026 and December 31, 2025. The fair value of the Swap Transaction is measured using level II inputs of the fair value hierarchy and is derived principally from, or corroborated by, observable market data, such as interest rate and yield curves.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Derivative liabilities: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60"/>
        <w:gridCol w:w="146"/>
        <w:gridCol w:w="1575"/>
        <w:gridCol w:w="146"/>
        <w:gridCol w:w="367"/>
        <w:gridCol w:w="1180"/>
        <w:gridCol w:w="146"/>
        <w:gridCol w:w="146"/>
        <w:gridCol w:w="228"/>
        <w:gridCol w:w="732"/>
        <w:gridCol w:w="271"/>
        <w:gridCol w:w="146"/>
        <w:gridCol w:w="569"/>
        <w:gridCol w:w="1141"/>
        <w:gridCol w:w="146"/>
        <w:gridCol w:w="146"/>
        <w:gridCol w:w="449"/>
        <w:gridCol w:w="1216"/>
        <w:gridCol w:w="195"/>
      </w:tblGrid>
      <w:tr>
        <w:trPr/>
        <w:tc>
          <w:tcPr>
            <w:tcW w:w="1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Effective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Termination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Notional amount </w:t>
              <w:br/>
              <w:t>on effective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Fixed 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Fair value </w:t>
              <w:br/>
              <w:t xml:space="preserve">as at June 30, 2026 </w:t>
              <w:br/>
              <w:t>(Level 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Fair value </w:t>
              <w:br/>
              <w:t>as at December 31,</w:t>
              <w:br/>
              <w:t xml:space="preserve">2025 </w:t>
              <w:br/>
              <w:t>(Level II)</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3/26/2029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43"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fair value of derivatives, including current portion</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2,261</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05"/>
        <w:gridCol w:w="146"/>
        <w:gridCol w:w="614"/>
        <w:gridCol w:w="1232"/>
        <w:gridCol w:w="146"/>
        <w:gridCol w:w="146"/>
        <w:gridCol w:w="566"/>
        <w:gridCol w:w="1290"/>
        <w:gridCol w:w="166"/>
        <w:gridCol w:w="146"/>
        <w:gridCol w:w="392"/>
        <w:gridCol w:w="1060"/>
        <w:gridCol w:w="146"/>
        <w:gridCol w:w="146"/>
        <w:gridCol w:w="373"/>
        <w:gridCol w:w="1116"/>
        <w:gridCol w:w="215"/>
      </w:tblGrid>
      <w:tr>
        <w:trPr/>
        <w:tc>
          <w:tcPr>
            <w:tcW w:w="23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 recognized in</w:t>
              <w:br/>
              <w:t>other comprehensive income/ (loss)</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 Period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 Period Ended 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 </w:t>
              <w:br/>
              <w:t>Period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 </w:t>
              <w:br/>
              <w:t>Period Ended June 30, 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Unrealized gain/ (loss) on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(2,314</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and December 31, 2025, the Company did not hold any interest rate swaps that do not qualify for hedge accounting.</w:t>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NOTE 9 – REPURCHASES AND ISSUANCE OF UNITS</w:t>
      </w:r>
    </w:p>
    <w:p>
      <w:pPr>
        <w:pStyle w:val="TextBody"/>
        <w:bidi w:val="0"/>
        <w:jc w:val="both"/>
        <w:rPr>
          <w:rFonts w:ascii="Times New Roman" w:hAnsi="Times New Roman"/>
          <w:color w:val="000000"/>
          <w:sz w:val="20"/>
        </w:rPr>
      </w:pPr>
      <w:r>
        <w:rPr>
          <w:rFonts w:ascii="Times New Roman" w:hAnsi="Times New Roman"/>
          <w:color w:val="000000"/>
          <w:sz w:val="20"/>
        </w:rPr>
        <w:t>In July 2022, the Board of Directors of Navios Partners authorized a common unit repurchase program for up to $100,000. Common unit repurchases will be made from time to time for cash in open market transactions at prevailing market prices or in privately negotiated transactions. The timing and amount of repurchases under the program will be determined by Navios Partners’ management based upon market conditions and financial and other considerations, including working capital and planned or anticipated growth opportunities. The program does not require any minimum repurchase or any specific number of common units and may be suspended or reinstated at any time in the Company’s discretion and without notice. The Board of Directors will review the program periodically. As of June 30, 2026, the Company had repurchased 301,073 common units in 2026 and 1,820,340 common units since the commencement of the program, for a total cost of approximately $20,000 and $88,000, respectively. As of August 20, 2026, the Company had repurchased 1,880,880 common units since the commencement of the program, for a total cost of approximately $92,619.</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10 –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Republic of the Marshall Islands does not impose a tax on international shipping income. Under the laws of the countries of the vessel-owning subsidiaries’ incorporation and/or redomiciliation and/or vessels’ registration, the vessel-owning subsidiaries are subject to registration and tonnage taxes, which have been included in vessel expenses in the accompanying condensed Consolidated Statements of Comprehensive Income.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accordance with the currently applicable Greek law, foreign flagged vessels that are managed by Greek or foreign ship management companies having established an office in Greece on the basis of the applicable licensing regime are subject to tax liability towards the Greek state, which is calculated on the basis of the relevant vessel’s tonnage. A tax credit is recognized for tonnage tax (or similar tax) paid abroad, up to the amount of the tax due in Greece.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owner, the manager and the bareboat charterer or the financial lessee (where applicable) are liable to pay the tax due to the Greek state. The payment of said tax exhausts the tax liability of the foreign ship owning company, the bareboat charterer, the financial lessee (as applicable) and the relevant manager against any tax, duty, charge or contribution payable on income from the exploitation of the foreign flagged vessel outside Greece.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NAVIOS MARITIME PARTNERS L.P.</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(Expressed in thousands of U.S. Dollars except unit and per unit data)</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elected to be treated and is currently treated as a corporation for U.S. federal income tax purposes. As such, the Company is not subject to section 1446 as that section only applies to entities that for U.S. federal income tax purposes are characterized as partnerships.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Section 883 of the Internal Revenue Code of the United States, U.S. source income from the international operation of ships is generally exempt from U.S. income tax if the company operating the ships meets certain incorporation and ownership requirements. Among other things, in order to qualify for this exemption, the company operating the ships must be incorporated in a country, which grants an equivalent exemption from income taxes to U.S. corporations. All the vessel-owning subsidiaries satisfy these initial criteria.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these companies must meet an ownership test. The management of Navios Partners believes that this ownership test was satisfied prior to the IPO by virtue of a special rule applicable to situations where the ship operating companies are beneficially owned by a publicly traded company. Although not free from doubt, management also believes that the ownership test will be satisfied based on the trading volume and ownership of Navios Partners’ units, but no assurance can be given that this will remain so in the future.</w:t>
      </w:r>
    </w:p>
    <w:p>
      <w:pPr>
        <w:pStyle w:val="TextBody"/>
        <w:bidi w:val="0"/>
        <w:spacing w:before="360" w:after="283"/>
        <w:jc w:val="both"/>
        <w:rPr>
          <w:rFonts w:ascii="Times New Roman" w:hAnsi="Times New Roman"/>
          <w:b/>
          <w:color w:val="000000"/>
          <w:sz w:val="20"/>
        </w:rPr>
      </w:pPr>
      <w:bookmarkStart w:id="15" w:name="page40"/>
      <w:bookmarkEnd w:id="15"/>
      <w:r>
        <w:rPr>
          <w:rFonts w:ascii="Times New Roman" w:hAnsi="Times New Roman"/>
          <w:b/>
          <w:color w:val="000000"/>
          <w:sz w:val="20"/>
        </w:rPr>
        <w:t>NOTE 11 – COMMITMENTS AND CONTINGENCIES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Navios Partners is involved in various disputes and arbitration proceedings arising in the ordinary course of business. Provisions have been recognized in the financial statements for all such proceedings where Navios Partners believes that a liability may be probable, and for which the amounts are reasonably estimable, based upon facts known at the date the financial statements were prepared. Management believes the ultimate disposition of these matters will be immaterial individually and in the aggregate to Navios Partners’ financial position, results of operations or liquidity.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second quarter of 2023, Navios Partners agreed to acquire two newbuilding Japanese MR2 Product Tanker vessels, from an unrelated third party, under bareboat contracts. Each vessel is being bareboat-in for ten years. Navios Partners has the option to acquire the vessels starting at the end of year four until the end of the charter period. The vessels are expected to be delivered into Navios Partners’ fleet during the second half of 2026. Navios Partners agreed to pay in total $18,000, representing a deposit for the option to acquire the vessels after the end of the fourth year. Through December 31, 2025, the aggregate amount of $9,000 in relation to the deposit for the option to acquire the two vessels, was paid. As of June 30, 2026, the total amount of $14,247, including capitalized expenses, is presented under the caption “Other long-term assets” in the condensed Consolidated Balance Sheets.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August 2023, Navios Partners agreed to acquire two newbuilding Japanese MR2 product tanker vessels, from an unrelated third party, under bareboat contracts. Each vessel is being bareboat-in for ten years. Navios Partners has the option to acquire the vessels starting at the end of year four until the end of the charter period. The vessels are expected to be delivered into Navios Partners’ fleet during the first half of 2027. Navios Partners agreed to pay in total $20,000, representing a deposit for the option to acquire the vessels after the end of the fourth year. Through December 31, 2025, the aggregate amount of $10,000 in relation to the deposit for the option to acquire the two vessels, was paid. As of June 30, 2026, the total amount of $15,073, including capitalized expenses, is presented under the caption “Other long-term assets” in the condensed Consolidated Balance Sheets.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third quarter of 2023, Navios Partners agreed to acquire four 115,000 dwt Aframax/LR2 newbuilding scrubber-fitted tanker vessels, from an unrelated third party, for a purchase price of $61,250 each (plus $3,300 per vessel in additional features). On February 5, 2026, March 19, 2026, April 28, 2026 and August 2, 2026, Navios Partners took delivery of the Nave Anthos, the Nave Amaryllis, the Nave Equator and the Nave Orbit, respectively. Navios Partners agreed to pay in total $27,562, plus extras in four installments for each vessel and the remaining amount of $33,688 plus extras for each vessel will be paid upon delivery of each vessel. Through December 31, 2025, the aggregate amount of $104,125 was paid. During the six month period ended June 30, 2026, the aggregate amount of $107,188, was paid. As of June 30, 2026, the total amount of $27,563 is presented under the caption “Deposits for vessel acquisitions” in the condensed Consolidated Balance Sheets.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first quarter of 2024, Navios Partners agreed to acquire two 115,000 dwt Aframax/LR2 newbuilding scrubber-fitted tanker vessels, from an unrelated third party, for a purchase price of $61,250 each (plus $3,300 per vessel in additional features). The vessels are expected to be delivered into Navios Partners’ fleet during the first half of 2027. Navios Partners agreed to pay in total $27,562, plus extras in four installments for each vessel and the remaining amount of $33,688 plus extras for each vessel will be paid upon delivery of each vessel. Through December 31, 2025 and during the six month period ended June 30, 2026, the aggregate amounts of $24,500 and $12,250, respectively, were paid. As of June 30, 2026, the total amount of $36,750 is presented under the caption “Deposits for vessel acquisitions” in the condensed Consolidated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NAVIOS MARITIME PARTNERS L.P.</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(Expressed in thousands of U.S. Dollars except unit and per unit data)</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second quarter of 2024, Navios Partners agreed to acquire two 7,900 TEU newbuilding methanol-ready and scrubber-fitted containerships, from an unrelated third party, for a purchase price of $102,750 each (plus $3,250 per vessel in additional features). On May 21, 2026, Navios Partners took delivery of the Navios Cyan. The remaining vessel is expected to be delivered into Navios Partners’ fleet during the second half of 2026. Navios Partners agreed to pay in total $82,200, plus extras in four installments for each vessel and the remaining amount of $20,550 plus extras for each vessel will be paid upon delivery of each vessel. Through December 31, 2025 and during the six month period ended June 30, 2026, the aggregate amounts of $102,750 and $82,200, respectively, were paid. As of June 30, 2026, the total amount of $82,200 is presented under the caption “Deposits for vessel acquisitions” in the condensed Consolidated Balance Sheets.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second quarter of 2024, Navios Partners agreed to acquire four 115,000 dwt Aframax/LR2 newbuilding scrubber-fitted tanker vessels, from an unrelated third party, for a purchase price of $62,250 (plus $3,300 per vessel in additional features) for each of the first two vessels and a purchase price of $63,000 (plus $3,300 per vessel in additional features) for each of the other two vessels. The vessels are expected to be delivered into Navios Partners’ fleet during 2027 and the first half of 2028. For the first two vessels, Navios Partners agreed to pay in total $34,238, plus extras in four installments for each vessel and the remaining amount of $28,012, plus extras for each vessel will be paid upon delivery of each vessel. For the other two vessels, Navios Partners agreed to pay in total $34,650, plus extras in four installments for each vessel and the remaining amount of $28,350, plus extras for each vessel will be paid upon delivery of each vessel. Through December 31, 2025 and during the six month period ended June 30, 2026, the aggregate amounts of $68,850 and $12,450, respectively, were paid. As of June 30, 2026, the total amount of $81,300 is presented under the caption “Deposits for vessel acquisitions” in the condensed Consolidated Balance Sheets.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third quarter of 2024, Navios Partners agreed to acquire two 7,900 TEU newbuilding methanol-ready and scrubber-fitted containerships, from an unrelated third party, for a purchase price of $102,750 each (plus $3,250 per vessel in additional features). The vessels are expected to be delivered into Navios Partners’ fleet during the second half of 2026 and the first half of 2027. Navios Partners agreed to pay in total $82,200, plus extras in four installments for each vessel and the remaining amount of $20,550, plus extras for each vessel will be paid upon delivery of each vessel. Through December 31, 2025 and during the six month period ended June 30, 2026, the aggregate amounts of $82,200 and $10,275, respectively, were paid. As of June 30, 2026, the total amount of $92,475 is presented under the caption “Deposits for vessel acquisitions” in the condensed Consolidated Balance Sheets.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second quarter of 2025, Navios Partners agreed to acquire two 115,000 dwt Aframax/LR2 newbuilding scrubber-fitted tanker vessels, from an unrelated third party, for a purchase price of $63,200 each (plus $3,300 per vessel in additional features). The vessels are expected to be delivered into Navios Partners’ fleet during the first half of 2027. Navios Partners agreed to pay in total $31,600, plus extras in four installments for each vessel and the remaining amount of $31,600, plus extras for each vessel will be paid upon delivery of each vessel. Through December 31, 2025 and during the six month period ended June 30, 2026, the aggregate amounts of $18,960 and $18,960, respectively, were paid. As of June 30, 2026, the total amount of $37,920 is presented under the caption “Deposits for vessel acquisitions” in the condensed Consolidated Balance Sheets.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third quarter of 2025, Navios Partners agreed to acquire four 8,850 TEU newbuilding methanol-ready and scrubber-fitted containerships, from an unrelated third party, for a purchase price of $113,250 each (plus $1,845 per vessel in additional features). The vessels are expected to be delivered into Navios Partners’ fleet during the second half of 2027 and the first half of 2028. Navios Partners agreed to pay in total $79,275, plus extras in four installments for each vessel and the remaining amount of $33,975, plus extras for each vessel will be paid upon delivery of each vessel. During the six month period ended June 30, 2026, the aggregate amount of $50,962 was paid. As of June 30, 2026, the total amount of $50,962 is presented under the caption “Deposits for vessel acquisitions” in the condensed Consolidated Balance Sheets.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fourth quarter of 2025, Navios Partners agreed to acquire two Japanese Capesize newbuilding scrubber-fitted vessels, from an unrelated third party, under 12-year bareboat-in contracts. Navios Partners has the option to acquire the vessels starting at the end of year four until the end of the charter period. Navios Partners agreed to pay in total $10,000, representing a deposit for the option to acquire the vessels after the end of the fourth year. The vessels are expected to be delivered into Navios Partners’ fleet during the second half of 2028 and the first quarter of 2029.</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second quarter of 2026, Navios Partners agreed to acquire six VLCC newbuilding scrubber-fitted tankers, from an unrelated third party, for a purchase price of $120,500 each (plus $170 per vessel in additional features). The vessels are expected to be delivered into Navios Partners’ fleet during 2028 and the first half of 2029. Navios Partners agreed to pay in total $60,250, plus extras in four installments for each vessel and the remaining amount of $60,250, plus extras for each vessel will be paid upon delivery of each vessel. During the six month period ended June 30, 2026, the aggregate amount of $72,300 was paid. As of June 30, 2026, the total amount of $72,300 is presented under the caption “Deposits for vessel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NAVIOS MARITIME PARTNERS L.P.</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(Expressed in thousands of U.S. Dollars except unit and per unit data)</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acquisitions” in the condensed Consolidated Balance Sheets. The closings of the transactions are subject to completion of customary documentation.</w:t>
      </w:r>
    </w:p>
    <w:p>
      <w:pPr>
        <w:pStyle w:val="TextBody"/>
        <w:bidi w:val="0"/>
        <w:spacing w:before="240" w:after="283"/>
        <w:jc w:val="both"/>
        <w:rPr>
          <w:rFonts w:ascii="Times New Roman" w:hAnsi="Times New Roman"/>
          <w:color w:val="000000"/>
          <w:sz w:val="20"/>
        </w:rPr>
      </w:pPr>
      <w:bookmarkStart w:id="16" w:name="page42"/>
      <w:bookmarkEnd w:id="16"/>
      <w:r>
        <w:rPr>
          <w:rFonts w:ascii="Times New Roman" w:hAnsi="Times New Roman"/>
          <w:color w:val="000000"/>
          <w:sz w:val="20"/>
        </w:rPr>
        <w:t>As of June 30, 2026, an amount of $74,087 related to capitalized costs is presented under the caption “Deposits for vessel acquisitions” in the condensed Consolidated Balance Sheets.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future minimum lease commitments under the Company’s bareboat-in contracts for undelivered vessels for the next five 12-month periods ending June 30, 2026, are as follows:</w:t>
      </w:r>
    </w:p>
    <w:p>
      <w:pPr>
        <w:pStyle w:val="TextBody"/>
        <w:bidi w:val="0"/>
        <w:jc w:val="both"/>
        <w:rPr/>
      </w:pPr>
      <w:r>
        <w:rPr/>
        <w:t> </w:t>
      </w:r>
    </w:p>
    <w:tbl>
      <w:tblPr>
        <w:tblW w:w="3025" w:type="dxa"/>
        <w:jc w:val="left"/>
        <w:tblInd w:w="0" w:type="dxa"/>
        <w:tblLayout w:type="fixed"/>
        <w:tblCellMar>
          <w:top w:w="28" w:type="dxa"/>
          <w:left w:w="28" w:type="dxa"/>
          <w:bottom w:w="28" w:type="dxa"/>
          <w:right w:w="28" w:type="dxa"/>
        </w:tblCellMar>
      </w:tblPr>
      <w:tblGrid>
        <w:gridCol w:w="1696"/>
        <w:gridCol w:w="146"/>
        <w:gridCol w:w="211"/>
        <w:gridCol w:w="781"/>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2032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267,380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12 – TRANSACTIONS WITH RELATED PARTIES AND AFFILIATES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the closing of Navios Partners’ IPO in 2007, the Company entered into management agreements, as amended from time to time.</w:t>
      </w:r>
    </w:p>
    <w:p>
      <w:pPr>
        <w:pStyle w:val="TextBody"/>
        <w:bidi w:val="0"/>
        <w:spacing w:before="120" w:after="109"/>
        <w:jc w:val="both"/>
        <w:rPr>
          <w:rFonts w:ascii="Times New Roman" w:hAnsi="Times New Roman"/>
          <w:color w:val="000000"/>
          <w:sz w:val="20"/>
        </w:rPr>
      </w:pPr>
      <w:r>
        <w:rPr>
          <w:rFonts w:ascii="Times New Roman" w:hAnsi="Times New Roman"/>
          <w:color w:val="000000"/>
          <w:sz w:val="20"/>
        </w:rPr>
        <w:t>In August 2024, Navios Partners renewed its management agreements with the Manager commencing on January 1, 2025, for a term of ten years, renewing annually (the “Master Management Agreement” and together with the management agreements the “Management Agreements”). At the same time, Navios Partners renewed for a term of ten years its Administrative Services Agreement (as defined herein and together with the Master Management Agreement the “Agreements”). The conflicts committee of the Board of Directors, consisting of independent directors, negotiated and approved the Agreements with the advice of independent legal and financial advisors.</w:t>
      </w:r>
    </w:p>
    <w:p>
      <w:pPr>
        <w:pStyle w:val="TextBody"/>
        <w:bidi w:val="0"/>
        <w:spacing w:before="131" w:after="283"/>
        <w:jc w:val="both"/>
        <w:rPr>
          <w:rFonts w:ascii="Times New Roman" w:hAnsi="Times New Roman"/>
          <w:color w:val="000000"/>
          <w:sz w:val="20"/>
        </w:rPr>
      </w:pPr>
      <w:r>
        <w:rPr>
          <w:rFonts w:ascii="Times New Roman" w:hAnsi="Times New Roman"/>
          <w:color w:val="000000"/>
          <w:sz w:val="20"/>
        </w:rPr>
        <w:t>The Master Management Agreement provides for technical and commercial management and related specialized services based on fee structure, including: (i) a fixed technical management fee of initially $0.95 per day per owned vessel for 2025; (ii) a commercial management fee of 1.25% on revenues; (iii) an S&amp;P fee of 1% on purchase or sale price; and (iv) fees for other specialized services (e.g. supervision of newbuilding vessels). Fixed fees are adjusted annually for United States Consumer Price Index. The Master Management Agreement also allows for fixed incentive awards if equity returns exceed certain thresholds, as identified in such agreement, upon the unanimous consent of the Board of Directors of Navios Partners. The Master Management Agreement also provides for payment of a termination fee, which is equal to the net present value of the technical and commercial management fees charged for the most recent calendar year, as set forth in the latest audited annual financial statements for the number of years remaining for the Master Management Agreement, using a 6% discount rate. Operating expenses, drydocking costs and certain fees and costs related to regulatory requirements including ballast water treatment system installation, exhaust gas cleaning system installation and other improvements are reimbursed at cost for all vessels.</w:t>
      </w:r>
    </w:p>
    <w:p>
      <w:pPr>
        <w:pStyle w:val="TextBody"/>
        <w:bidi w:val="0"/>
        <w:spacing w:before="0" w:after="283"/>
        <w:jc w:val="both"/>
        <w:rPr>
          <w:rFonts w:ascii="Times New Roman" w:hAnsi="Times New Roman"/>
          <w:b/>
          <w:color w:val="000000"/>
          <w:sz w:val="20"/>
        </w:rPr>
      </w:pPr>
      <w:r>
        <w:rPr>
          <w:rFonts w:ascii="Times New Roman" w:hAnsi="Times New Roman"/>
          <w:b/>
          <w:color w:val="000000"/>
          <w:sz w:val="20"/>
        </w:rPr>
        <w:t>Vessel operating expenses - Fixed technical management fee</w:t>
      </w:r>
    </w:p>
    <w:p>
      <w:pPr>
        <w:pStyle w:val="TextBody"/>
        <w:bidi w:val="0"/>
        <w:jc w:val="both"/>
        <w:rPr>
          <w:rFonts w:ascii="Times New Roman" w:hAnsi="Times New Roman"/>
          <w:color w:val="000000"/>
          <w:sz w:val="20"/>
        </w:rPr>
      </w:pPr>
      <w:r>
        <w:rPr>
          <w:rFonts w:ascii="Times New Roman" w:hAnsi="Times New Roman"/>
          <w:color w:val="000000"/>
          <w:sz w:val="20"/>
        </w:rPr>
        <w:t>During the three and six month periods ended June 30, 2026, fixed technical management fees amounted to $12,852 and $25,549, respectively, and are presented under the caption “Vessel operating expenses” in the condensed Consolidated Statements of Comprehensive Income.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and six month periods ended June 30, 2025, fixed technical management fees amounted to $12,802 and $25,532, respectively, and are presented under the caption “Vessel operating expenses” in the condensed Consolidated Statements of Comprehensive Income.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Commercial management and specialized services fees</w:t>
      </w:r>
    </w:p>
    <w:p>
      <w:pPr>
        <w:pStyle w:val="TextBody"/>
        <w:bidi w:val="0"/>
        <w:jc w:val="both"/>
        <w:rPr>
          <w:rFonts w:ascii="Times New Roman" w:hAnsi="Times New Roman"/>
          <w:color w:val="000000"/>
          <w:sz w:val="20"/>
        </w:rPr>
      </w:pPr>
      <w:r>
        <w:rPr>
          <w:rFonts w:ascii="Times New Roman" w:hAnsi="Times New Roman"/>
          <w:color w:val="000000"/>
          <w:sz w:val="20"/>
        </w:rPr>
        <w:t>During the three and six month periods ended June 30, 2026, commercial management fee on revenues amounted to $4,837 and $9,170, respectively, and is presented under the caption “Time charter and voyage expenses” in the condensed Consolidated Statements of Comprehensive Income.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NAVIOS MARITIME PARTNERS L.P.</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(Expressed in thousands of U.S. Dollars except unit and per unit data)</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and six month periods ended June 30, 2025, commercial management fee on revenues amounted to $4,023 and $7,871, respectively, and is presented under the caption “Time charter and voyage expenses” in the condensed Consolidated Statements of Comprehensive Income.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and six month periods ended June 30, 2026, fee on sales amounted to $958 and $1,258, respectively, and is presented under the caption “Gain/ (loss) on sale of vessels, net” in the condensed Consolidated Statements of Comprehensive Income.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and six month periods ended June 30, 2025, fee on sales amounted to $485 and $647, respectively, and is presented under the caption “Gain/ (loss) on sale of vessels, net” in the condensed Consolidated Statements of Comprehensive Income.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and six month periods ended June 30, 2026, fee on purchases amounted to $7,240 for each period and is presented under the caption “Deposits for acquisition/ option to acquire vessel” in the condensed Consolidated Statements of Cash Flows.</w:t>
      </w:r>
    </w:p>
    <w:p>
      <w:pPr>
        <w:pStyle w:val="TextBody"/>
        <w:bidi w:val="0"/>
        <w:spacing w:before="0" w:after="283"/>
        <w:jc w:val="both"/>
        <w:rPr>
          <w:rFonts w:ascii="Times New Roman" w:hAnsi="Times New Roman"/>
          <w:color w:val="000000"/>
          <w:sz w:val="20"/>
        </w:rPr>
      </w:pPr>
      <w:r>
        <w:rPr>
          <w:rFonts w:ascii="Times New Roman" w:hAnsi="Times New Roman"/>
          <w:color w:val="000000"/>
          <w:sz w:val="20"/>
        </w:rPr>
        <w:t>During the three and six month periods ended June 30, 2025, fee on purchases amounted to $1,330 for each period and is presented under the caption “Deposits for acquisition/ option to acquire vessel” in the condensed Consolidated Statements of Cash Flows.</w:t>
      </w:r>
    </w:p>
    <w:p>
      <w:pPr>
        <w:pStyle w:val="TextBody"/>
        <w:bidi w:val="0"/>
        <w:jc w:val="both"/>
        <w:rPr>
          <w:rFonts w:ascii="Times New Roman" w:hAnsi="Times New Roman"/>
          <w:color w:val="000000"/>
          <w:sz w:val="20"/>
        </w:rPr>
      </w:pPr>
      <w:r>
        <w:rPr>
          <w:rFonts w:ascii="Times New Roman" w:hAnsi="Times New Roman"/>
          <w:color w:val="000000"/>
          <w:sz w:val="20"/>
        </w:rPr>
        <w:t>During the three and six month periods ended June 30, 2026, fees for supervision, pre-delivery and delivery of newbuilding vessels initially presented under the captions “Deposits for vessel acquisitions” and “Other long-term assets” in the condensed Consolidated Balance Sheets amounted to $2,563 and $5,509,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and six month periods ended June 30, 2025, fees for supervision, pre-delivery and delivery of newbuilding vessels initially presented under the captions “Deposits for vessel acquisitions” and “Other long-term assets” in the condensed Consolidated Balance Sheets amounted to $1,902 and $4,432, respectively.</w:t>
      </w:r>
    </w:p>
    <w:p>
      <w:pPr>
        <w:pStyle w:val="TextBody"/>
        <w:bidi w:val="0"/>
        <w:jc w:val="both"/>
        <w:rPr>
          <w:rFonts w:ascii="Times New Roman" w:hAnsi="Times New Roman"/>
          <w:b/>
          <w:color w:val="000000"/>
          <w:sz w:val="20"/>
        </w:rPr>
      </w:pPr>
      <w:r>
        <w:rPr>
          <w:rFonts w:ascii="Times New Roman" w:hAnsi="Times New Roman"/>
          <w:b/>
          <w:color w:val="000000"/>
          <w:sz w:val="20"/>
        </w:rPr>
        <w:t>General and administrative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Manager also provides administrative services to Navios Partners, which include bookkeeping, audit and accounting services, legal and insurance services, administrative and clerical services, banking and financial services, advisory services, client and investor relations and other. The Manager is reimbursed for reasonable allocable general and administrative costs and expenses incurred in connection with the provision of these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August 2024, Navios Partners renewed its administrative services agreement commencing on January 1, 2025, for a term of ten years, renewing annually (the “Administrative Services Agreement”). The Administrative Services Agreement provides for reimbursement of allocable general and administrative costs. The Administrative Services Agreement also provides for payment of a termination fee, which is equal to the costs charged for the most recent calendar year, as set forth in the latest audited annual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Total general and administrative expenses charged by the Manager for the three and six month periods ended June 30, 2026 amounted to $18,502 and $36,777, respectively. Total general and administrative expenses charged by the Manager for the three and six month periods ended June 30, 2025 amounted to $18,454 and $34,790, respectively.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Balance due (to)/ from related parties</w:t>
      </w:r>
    </w:p>
    <w:p>
      <w:pPr>
        <w:pStyle w:val="TextBody"/>
        <w:bidi w:val="0"/>
        <w:spacing w:before="0" w:after="283"/>
        <w:jc w:val="both"/>
        <w:rPr>
          <w:rFonts w:ascii="Times New Roman" w:hAnsi="Times New Roman"/>
          <w:color w:val="000000"/>
          <w:sz w:val="20"/>
        </w:rPr>
      </w:pPr>
      <w:r>
        <w:rPr>
          <w:rFonts w:ascii="Times New Roman" w:hAnsi="Times New Roman"/>
          <w:color w:val="000000"/>
          <w:sz w:val="20"/>
        </w:rPr>
        <w:t>Balance due to Manager, short-term as of June 30, 2026 and December 31, 2025 amounted to $36,221 and $23,484, respectively. The balances mainly consisted of administrative expenses, drydocking, certain fees and costs related to regulatory requirements including ballast water treatment system, other expenses, as well as vessel operating expenses, in accordance with the Management Agreements and are presented under the caption “Amounts due to related parties” in the condensed Consolidated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NAVIOS MARITIME PARTNERS L.P.</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(Expressed in thousands of U.S. Dollars except unit and per unit data)</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October 2023, Navios Partners entered into a time charter agreement with a subsidiary of its affiliate NSAL for the Navios Vega, a 2009-built transhipper vessel. The vessel was delivered during the first quarter of 2024. The term of this time charter agreement was approximately five years, at an originally agreed rate of $25.8 per day. In accordance with an addendum to the time charter agreement, dated in March 2025, the daily rate was amended as follows: (a) $14.0 per day, effective from January 1, 2025, through December 31, 2026; (b) $38.8 per day effective from January 1, 2027, through December 31, 2028; and (c) $25.8 per day effective from January 1, 2029, until termination. This transaction was negotiated with, and unanimously approved by, the Conflicts Committee of Navios Partners. For the three and six month periods ended June 30, 2025, the amounts of $3,533 and $4,808, respectively, are presented under the caption “Time charter and voyage revenues” in the condensed Consolidated Statements of Comprehensive Income.</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In July 2025, Navios Partners sold the Navios Vega to NSAL for a sale price of $30,000. The transaction was negotiated and approved by the Conflicts Committee of Navios Partners. The sale agreement included a seller’s credit of $10,000, payable in four annual installments.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June 30, 2026 and December 31, 2025, balance due from the abovementioned related party company, short-term amounted to $1,960 and $1,720, respectively, and is presented under the caption “Amounts due from related parties” within current assets in the condensed Consolidated Balance Sheets. As of each of June 30, 2026 and December 31, 2025, balance due from the abovementioned related party company, long-term amounted to $7,142 and is presented under the caption “Amounts due from related parties” within non-current assets in the condensed Consolidated Balance Sheets. These balances represent the current and non-current portion of the discounted amount of seller’s credit as of June 30, 2026 and December 31, 2025.</w:t>
      </w:r>
    </w:p>
    <w:p>
      <w:pPr>
        <w:pStyle w:val="TextBody"/>
        <w:bidi w:val="0"/>
        <w:spacing w:before="0" w:after="240"/>
        <w:jc w:val="both"/>
        <w:rPr>
          <w:rFonts w:ascii="Times New Roman" w:hAnsi="Times New Roman"/>
          <w:b/>
          <w:color w:val="000000"/>
          <w:sz w:val="20"/>
        </w:rPr>
      </w:pPr>
      <w:bookmarkStart w:id="17" w:name="page44"/>
      <w:bookmarkEnd w:id="17"/>
      <w:r>
        <w:rPr>
          <w:rFonts w:ascii="Times New Roman" w:hAnsi="Times New Roman"/>
          <w:b/>
          <w:color w:val="000000"/>
          <w:sz w:val="20"/>
        </w:rPr>
        <w:t>Others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Navios Partners has entered into an omnibus agreement with Navios Holdings (the “Partners Omnibus Agreement”) in connection with the closing of Navios Partners’ IPO governing, among other things, when Navios Holdings and Navios Partners may compete against each other as well as rights of first offer on certain dry bulk carriers. Pursuant to the Partners Omnibus Agreement, Navios Holdings generally agreed not to acquire or own Panamax or Capesize dry bulk carriers under time charters of three or more years without consent as required under such agreement.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During the first quarter of 2025, the Company completed the sale of five entities to an entity affiliated with the Company’s Chairwoman and Chief Executive Officer, Angeliki Frangou, for a nominal consideration.</w:t>
      </w:r>
    </w:p>
    <w:p>
      <w:pPr>
        <w:pStyle w:val="TextBody"/>
        <w:bidi w:val="0"/>
        <w:jc w:val="both"/>
        <w:rPr>
          <w:rFonts w:ascii="Times New Roman" w:hAnsi="Times New Roman"/>
          <w:b/>
          <w:color w:val="000000"/>
          <w:sz w:val="20"/>
        </w:rPr>
      </w:pPr>
      <w:r>
        <w:rPr>
          <w:rFonts w:ascii="Times New Roman" w:hAnsi="Times New Roman"/>
          <w:b/>
          <w:color w:val="000000"/>
          <w:sz w:val="20"/>
        </w:rPr>
        <w:t>General partner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Olympos Maritime Ltd., an entity affiliated to the Company’s Chairwoman and Chief Executive Officer, Angeliki Frangou, is the holder of Navios Partners’ general partner interest.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13 – CASH DISTRIBUTIONS AND EARNINGS PER UNIT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amount of distributions paid by Navios Partners and the decision to make any distribution is determined by the Company’s Board of Directors and will depend on, among other things, Navios Partners’ cash requirements as measured by market opportunities and restrictions under its credit agreements and other debt obligations and such other factors as the Board of Directors may deem advisable. There is no guarantee that the Company will pay the quarterly distribution on the common units in any quarter. The Company is prohibited from making any distributions to unitholders if it would cause an event of default, or an event of default exists, under its existing credit agreements and other debt obligations.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are incentive distribution rights held by Navios GP L.L.C., which are analyzed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87"/>
        <w:gridCol w:w="146"/>
        <w:gridCol w:w="2247"/>
        <w:gridCol w:w="146"/>
        <w:gridCol w:w="451"/>
        <w:gridCol w:w="979"/>
        <w:gridCol w:w="363"/>
        <w:gridCol w:w="195"/>
        <w:gridCol w:w="572"/>
        <w:gridCol w:w="1357"/>
        <w:gridCol w:w="363"/>
        <w:gridCol w:w="195"/>
        <w:gridCol w:w="441"/>
        <w:gridCol w:w="640"/>
        <w:gridCol w:w="323"/>
      </w:tblGrid>
      <w:tr>
        <w:trPr/>
        <w:tc>
          <w:tcPr>
            <w:tcW w:w="1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Marginal Percentage Interest in Distributions</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Quarterly Distribution Target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Unitholders</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Incentive Distribution Right Holder</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General Partner</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Minimum Quarterly Distribution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up to $5.25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First Target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up to $6.0375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Second Target Distribution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above $6.0375 up to $6.5625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Third Target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above $6.5625 up to $7.875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above $7.875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NAVIOS MARITIME PARTNERS L.P.</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(Expressed in thousands of U.S. Dollars except unit and per unit data)</w:t>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first 98% of the quarterly distribution is paid to all common unitholders. The incentive distribution rights (held by Navios GP L.L.C.) apply only after a minimum quarterly distribution of $6.0375 per unit.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authorized quarterly cash distributions paid during the six month periods ended June 30, 2026 and 2025, as well as the quarterly cash distribution paid with respect to the quarter ended June 30, 2026 are presented below:</w:t>
      </w:r>
    </w:p>
    <w:p>
      <w:pPr>
        <w:pStyle w:val="TextBody"/>
        <w:bidi w:val="0"/>
        <w:jc w:val="both"/>
        <w:rPr/>
      </w:pPr>
      <w:r>
        <w:rPr/>
        <w:t> </w:t>
      </w:r>
    </w:p>
    <w:tbl>
      <w:tblPr>
        <w:tblW w:w="8840" w:type="dxa"/>
        <w:jc w:val="left"/>
        <w:tblInd w:w="0" w:type="dxa"/>
        <w:tblLayout w:type="fixed"/>
        <w:tblCellMar>
          <w:top w:w="28" w:type="dxa"/>
          <w:left w:w="28" w:type="dxa"/>
          <w:bottom w:w="28" w:type="dxa"/>
          <w:right w:w="28" w:type="dxa"/>
        </w:tblCellMar>
      </w:tblPr>
      <w:tblGrid>
        <w:gridCol w:w="1216"/>
        <w:gridCol w:w="1741"/>
        <w:gridCol w:w="1846"/>
        <w:gridCol w:w="1591"/>
        <w:gridCol w:w="146"/>
        <w:gridCol w:w="211"/>
        <w:gridCol w:w="466"/>
        <w:gridCol w:w="146"/>
        <w:gridCol w:w="146"/>
        <w:gridCol w:w="307"/>
        <w:gridCol w:w="833"/>
        <w:gridCol w:w="191"/>
      </w:tblGrid>
      <w:tr>
        <w:trPr/>
        <w:tc>
          <w:tcPr>
            <w:tcW w:w="121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Date</w:t>
            </w:r>
          </w:p>
        </w:tc>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Authorized</w:t>
              <w:br/>
              <w:t>Quarterly Cash</w:t>
              <w:br/>
              <w:t>Distribution for the</w:t>
              <w:br/>
              <w:t>three months ended</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record</w:t>
              <w:br/>
              <w:t>of Common and</w:t>
              <w:br/>
              <w:t>General Partnership</w:t>
              <w:br/>
              <w:t>unit Unitholders</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Payment of</w:t>
              <w:br/>
              <w:t>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Unit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 of</w:t>
              <w:br/>
              <w:t>the declared</w:t>
              <w:br/>
              <w:t>distribution</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2025</w:t>
            </w:r>
          </w:p>
        </w:tc>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 2024</w:t>
            </w:r>
          </w:p>
        </w:tc>
        <w:tc>
          <w:tcPr>
            <w:tcW w:w="1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10, 2025</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2025</w:t>
            </w:r>
          </w:p>
        </w:tc>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2025</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9, 2025</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2026</w:t>
            </w:r>
          </w:p>
        </w:tc>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 2025</w:t>
            </w:r>
          </w:p>
        </w:tc>
        <w:tc>
          <w:tcPr>
            <w:tcW w:w="1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9, 2026</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2026</w:t>
            </w:r>
          </w:p>
        </w:tc>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2026</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11, 2026</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2026</w:t>
            </w:r>
          </w:p>
        </w:tc>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2026</w:t>
            </w:r>
          </w:p>
        </w:tc>
        <w:tc>
          <w:tcPr>
            <w:tcW w:w="1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10, 2026</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Navios Partners calculates earnings/ (losses) per unit by allocating reported net income/ (loss) for each period to each class of units based on the distribution waterfall for available cash specified in Navios Partners’ partnership agreement, net of the unallocated earnings/ (losses). Basic earnings/ (losses) per common unit is determined by dividing net income/ (loss) by the weighted average number of common units outstanding during the period. Diluted earnings per unit is calculated in the same manner as basic earnings per unit, except that the weighted average number of outstanding units increased to include the dilutive effect of outstanding unit options or phantom units. Net earnings/ (losses) per unit undistributed is determined by taking the distributions in excess of net income/ (loss) and allocating between common units and general partnership units on a 98%-2% basis. There were no options or phantom units outstanding during each of the six month periods ended June 30, 2026 and 2025.</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calculations of the basic and diluted earnings per unit are presented below.</w:t>
      </w:r>
    </w:p>
    <w:tbl>
      <w:tblPr>
        <w:tblW w:w="10205" w:type="dxa"/>
        <w:jc w:val="left"/>
        <w:tblInd w:w="0" w:type="dxa"/>
        <w:tblLayout w:type="fixed"/>
        <w:tblCellMar>
          <w:top w:w="28" w:type="dxa"/>
          <w:left w:w="28" w:type="dxa"/>
          <w:bottom w:w="28" w:type="dxa"/>
          <w:right w:w="28" w:type="dxa"/>
        </w:tblCellMar>
      </w:tblPr>
      <w:tblGrid>
        <w:gridCol w:w="1864"/>
        <w:gridCol w:w="146"/>
        <w:gridCol w:w="330"/>
        <w:gridCol w:w="1622"/>
        <w:gridCol w:w="146"/>
        <w:gridCol w:w="146"/>
        <w:gridCol w:w="330"/>
        <w:gridCol w:w="1622"/>
        <w:gridCol w:w="146"/>
        <w:gridCol w:w="146"/>
        <w:gridCol w:w="272"/>
        <w:gridCol w:w="1338"/>
        <w:gridCol w:w="146"/>
        <w:gridCol w:w="146"/>
        <w:gridCol w:w="272"/>
        <w:gridCol w:w="1338"/>
        <w:gridCol w:w="195"/>
      </w:tblGrid>
      <w:tr>
        <w:trPr/>
        <w:tc>
          <w:tcPr>
            <w:tcW w:w="1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8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 Period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 Period Ended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 </w:t>
              <w:br/>
              <w:t>Period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 </w:t>
              <w:br/>
              <w:t>Period Ended June 30, 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111,674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attributable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unitholders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109,329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units outstanding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unitholders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28,426,340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29,233,736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28,501,957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29,404,831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unit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unitholders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units outstanding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unitholders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28,426,340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29,233,736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28,501,957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29,404,831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unit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unitholders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unit distributed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unitholders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unit distributed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unitholders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potential common units are included in the calculation of earnings per unit diluted for each of the six month periods ended June 30, 2026 and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14 – LEASES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Time charter out contracts and pooling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contract revenues from time chartering, bareboat chartering and pooling arrangements are governed by ASC 842.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NAVIOS MARITIME PARTNERS L.P.</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(Expressed in thousands of U.S. Dollars except unit and per unit data)</w:t>
      </w:r>
    </w:p>
    <w:p>
      <w:pPr>
        <w:pStyle w:val="TextBody"/>
        <w:bidi w:val="0"/>
        <w:jc w:val="center"/>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Operating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discussion of the Company’s operating leases can be found in Note 20 – Leases to the Company’s consolidated financial statements included in the Annual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management estimates and market conditions, the lease term of the leases is being assessed at each balance sheet date. At lease commencement, the Company determines a discount rate to calculate the present value of the lease payments so that it can determine lease classification and measure the lease liability. In determining the discount rate to be used at lease commencement, the Company used its incremental borrowing rate as there was no implicit rate included in charter-in contracts that could be readily determinable. The incremental borrowing rate is the rate that reflects the interest a lessee would have to pay to borrow funds on a collateralized basis over a similar term and in a similar economic environment. The Company then applies the respective incremental borrowing rate based on the remaining lease term of the specific lease. Navios Partners’ incremental borrowing rates were approximately 7% for the Navios Libra and the Nave Celeste, 5% for the Navios Amitie and the Navios Star, 6% for the Nave Allegro and the Nave Tempo, and 4% for the Nave Electron.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and December 31, 2025, the outstanding balance of the operating lease liability amounted to $201,802 and $214,996, respectively, and is presented under the captions “Operating lease liabilities, current portion” and “Operating lease liabilities, net” in the condensed Consolidated Balance Sheets. Right-of-use assets amounted to $206,131 and $218,952 as of June 30, 2026 and December 31, 2025, respectively, and are presented under the caption “Operating lease assets” in the condensed Consolidated Balance Sheets.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recognizes the lease payments for its operating leases as charter hire expenses on a straight-line basis over the lease term. Lease expense incurred and paid for the three and six month periods ended June 30, 2026 amounted to $9,741 and $19,375, respectively. Lease expense incurred and paid for the three and six month periods ended June 30, 2025 amounted to $9,741 and $19,374, respectively. Lease expense is presented under the caption “Time charter and voyage expenses” in the condensed Consolidated Statements of Comprehensive Income.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three and six month periods ended June 30, 2026, the sublease income (net of commissions) for vessels where the Company is a lessee amounted to $30,147 and $63,511, respectively. For the three and six month periods ended June 30, 2025, the sublease income (net of commissions) for vessels where the Company is a lessee amounted to $17,169 and $33,284, respectively. Sublease income is presented under the caption “Time charter and voyage revenues” in the condensed Consolidated Statements of Comprehensive Income.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the weighted average useful life of the remaining operating lease terms was 6.8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table below provides the total amount of lease payments for the next five 12-month periods on an undiscounted basis on the Company’s chartered-in contracts as of June 30, 2026:</w:t>
      </w:r>
    </w:p>
    <w:p>
      <w:pPr>
        <w:pStyle w:val="TextBody"/>
        <w:bidi w:val="0"/>
        <w:jc w:val="both"/>
        <w:rPr/>
      </w:pPr>
      <w:r>
        <w:rPr/>
        <w:t> </w:t>
      </w:r>
    </w:p>
    <w:tbl>
      <w:tblPr>
        <w:tblW w:w="5860" w:type="dxa"/>
        <w:jc w:val="left"/>
        <w:tblInd w:w="0" w:type="dxa"/>
        <w:tblLayout w:type="fixed"/>
        <w:tblCellMar>
          <w:top w:w="28" w:type="dxa"/>
          <w:left w:w="28" w:type="dxa"/>
          <w:bottom w:w="28" w:type="dxa"/>
          <w:right w:w="28" w:type="dxa"/>
        </w:tblCellMar>
      </w:tblPr>
      <w:tblGrid>
        <w:gridCol w:w="4531"/>
        <w:gridCol w:w="146"/>
        <w:gridCol w:w="211"/>
        <w:gridCol w:w="781"/>
        <w:gridCol w:w="19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2032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243,095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 liabilities, including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201,802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Discount based on incremental borrowing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41,293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Finance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a detailed description of the finance lease liabilities and right-of-use assets for vessels under finance leases, refer to Note 6 – Borrowings and Note 4 – Vessels, net, respectively, and Note 10 – Borrowings and Note 6 – Vessels, net, respectively, to the Company’s consolidated financial statements included in the Annual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three and six month periods ended June 30, 2026, the sublease income (net of commissions) for vessels where the Company is a lessee amounted to $15,920 and $32,323, respectively. For the three and six month periods ended June 30, 2025, the sublease income (net of commissions) for vessels where the Company is a lessee amounted to $16,777 and $32,313,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NAVIOS MARITIME PARTNERS L.P.</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(Expressed in thousands of U.S. Dollars except unit and per unit data)</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respectively. Sublease income is presented under the caption “Time charter and voyage revenues” in the condensed Consolidated Statements of Comprehensive Income.</w:t>
      </w:r>
    </w:p>
    <w:p>
      <w:pPr>
        <w:pStyle w:val="TextBody"/>
        <w:bidi w:val="0"/>
        <w:spacing w:before="240" w:after="283"/>
        <w:jc w:val="both"/>
        <w:rPr>
          <w:rFonts w:ascii="Times New Roman" w:hAnsi="Times New Roman"/>
          <w:color w:val="000000"/>
          <w:sz w:val="20"/>
        </w:rPr>
      </w:pPr>
      <w:bookmarkStart w:id="18" w:name="page47"/>
      <w:bookmarkEnd w:id="18"/>
      <w:r>
        <w:rPr>
          <w:rFonts w:ascii="Times New Roman" w:hAnsi="Times New Roman"/>
          <w:color w:val="000000"/>
          <w:sz w:val="20"/>
        </w:rPr>
        <w:t>As of June 30, 2026, the weighted average useful life of the remaining finance lease terms was 10.1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table below provides the total amount of lease payments and options to acquire vessels for the next five 12-month periods on an undiscounted basis under the Company’s finance leases as of June 30, 2026:</w:t>
      </w:r>
    </w:p>
    <w:p>
      <w:pPr>
        <w:pStyle w:val="TextBody"/>
        <w:bidi w:val="0"/>
        <w:jc w:val="both"/>
        <w:rPr/>
      </w:pPr>
      <w:r>
        <w:rPr/>
        <w:t> </w:t>
      </w:r>
    </w:p>
    <w:tbl>
      <w:tblPr>
        <w:tblW w:w="7870" w:type="dxa"/>
        <w:jc w:val="left"/>
        <w:tblInd w:w="0" w:type="dxa"/>
        <w:tblLayout w:type="fixed"/>
        <w:tblCellMar>
          <w:top w:w="28" w:type="dxa"/>
          <w:left w:w="28" w:type="dxa"/>
          <w:bottom w:w="28" w:type="dxa"/>
          <w:right w:w="28" w:type="dxa"/>
        </w:tblCellMar>
      </w:tblPr>
      <w:tblGrid>
        <w:gridCol w:w="6541"/>
        <w:gridCol w:w="146"/>
        <w:gridCol w:w="211"/>
        <w:gridCol w:w="781"/>
        <w:gridCol w:w="191"/>
      </w:tblGrid>
      <w:tr>
        <w:trPr/>
        <w:tc>
          <w:tcPr>
            <w:tcW w:w="6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2032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449,109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Finance lease liabilities, including current portion (see Note 6 –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310,064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Discount based on incremental borrowing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139,045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Bareboat charter-out contract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Subsequently to the bareboat charter-in agreement, the Company entered into bareboat charter-out agreements for a firm charter period of ten years for two VLCCs and an extra optional period of five years, for both vessels, and for a firm period of up to two-years, extended in direct continuation of previous bareboat charter-out agreement for an additional period of five years for a third VLCC. The Company also performed an assessment of the lease classification under the ASC 842 and concluded that the agreements are operating leases. On July 4, 2025, Navios Partners terminated the bareboat charter-out agreements for the first two VLCCs.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June 2026, the Company entered into a new bareboat charter-out agreement for one VLCC, for a firm charter period of about three years. The Company also performed an assessment of the lease classification under the ASC 842 and concluded that the agreement is an operating lease.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recognizes in relation to the operating leases for the bareboat charter-out agreements the bareboat charter-out hire income in the condensed Consolidated Statements of Comprehensive Income on a straight-line basis. For the three and six month periods ended June 30, 2026, the charter hire income (net of commissions) amounted to $3,700 and $7,120 respectively. For the three and six month periods ended June 30, 2025, the charter hire income (net of commissions) amounted to $8,970 and $17,235, respectively. Charter hire income (net of commissions, if any) is presented under the caption “Time charter and voyage revenues” in the condensed Consolidated Statements of Comprehensive Income.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15 – SUBSEQUENT EVENTS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Board of Directors of Navios Partners has authorized a new common unit repurchase program for up to $200,000 that is expected to become effective in the third quarter of 2026. Upon termination of the previously authorized $100,000 common unit repurchase program in August 2026, the remaining availability was added to the Company’s newly authorized common unit repurchase program, resulting in the aggregate repurchase authorization of up to $207,381. Common unit repurchases will be made from time to time for cash in open market transactions at prevailing market prices or in privately negotiated transactions. The timing and amount of repurchases under the program will be determined by Navios Partners’ management based upon market conditions and financial and other considerations, including working capital and planned or anticipated growth opportunities. The program does not require any minimum repurchase or any specific number of common units and may be suspended or reinstated at any time in the Company’s discretion and without notice. The Board of Directors will review the program periodically.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July 2026, Navios Partners agreed to acquire a newbuilding scrubber-fitted VLCC tanker from an unrelated third party for a purchase price of $120,500. The vessel is expected to be delivered into Navios Partners’ fleet during the second half of 2029. The closing of the transaction is subject to completion of customary documentation.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July 2026, Navios Partners agreed to acquire a Japanese newbuilding scrubber-fitted capesize vessel from an unrelated third party under a ten-year bareboat-in contract. Navios Partners has the option to acquire the vessel starting at the end of year four until the end of the charter period. Navios Partners agreed to pay in total $5,500, representing a deposit for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NAVIOS MARITIME PARTNERS L.P.</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(Expressed in thousands of U.S. Dollars except unit and per unit data)</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option to acquire the vessel after the end of the fourth year. The vessel is expected to be delivered into Navios Partners’ fleet during the second half of 2029. The closing of the transaction is subject to completion of customary documentation.</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In August 2026, Navios Partners took delivery of the Nave Orbit, a 2026-built Aframax/LR2 scrubber-fitted tanker vessel of 117,012 dwt (see Note 11 – Commitments and contingencies).</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In August 2026, Navios Partners agreed to sell a 2008-built 4,730 TEU containership and a 2009-built capesize vessel of 180,727 dwt to unrelated third parties for an aggregate gross sale price of $65,250. The sale of the containership is expected to be completed during the second half of 2027 and the sale of the capesize vessel is expected to be completed during the second half of 2026. The aggregate gain on sale of the above vessels and the vessel agreed to be sold (see Note 4 – Vessels, net), is expected to be approximately $47,222.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SIGNATURES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3300" w:type="dxa"/>
        <w:jc w:val="left"/>
        <w:tblInd w:w="0" w:type="dxa"/>
        <w:tblLayout w:type="fixed"/>
        <w:tblCellMar>
          <w:top w:w="28" w:type="dxa"/>
          <w:left w:w="28" w:type="dxa"/>
          <w:bottom w:w="28" w:type="dxa"/>
          <w:right w:w="28" w:type="dxa"/>
        </w:tblCellMar>
      </w:tblPr>
      <w:tblGrid>
        <w:gridCol w:w="526"/>
        <w:gridCol w:w="2535"/>
        <w:gridCol w:w="239"/>
      </w:tblGrid>
      <w:tr>
        <w:trPr/>
        <w:tc>
          <w:tcPr>
            <w:tcW w:w="526" w:type="dxa"/>
            <w:tcBorders/>
            <w:vAlign w:val="center"/>
          </w:tcPr>
          <w:p>
            <w:pPr>
              <w:pStyle w:val="TableContents"/>
              <w:bidi w:val="0"/>
              <w:spacing w:before="0" w:after="283"/>
              <w:jc w:val="left"/>
              <w:rPr>
                <w:sz w:val="4"/>
                <w:szCs w:val="4"/>
              </w:rPr>
            </w:pPr>
            <w:r>
              <w:rPr>
                <w:sz w:val="4"/>
                <w:szCs w:val="4"/>
              </w:rPr>
            </w:r>
          </w:p>
        </w:tc>
        <w:tc>
          <w:tcPr>
            <w:tcW w:w="253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NAVIOS MARITIME PARTNERS L.P.</w:t>
            </w:r>
          </w:p>
        </w:tc>
      </w:tr>
      <w:tr>
        <w:trPr/>
        <w:tc>
          <w:tcPr>
            <w:tcW w:w="526" w:type="dxa"/>
            <w:tcBorders/>
            <w:tcMar>
              <w:top w:w="0" w:type="dxa"/>
              <w:left w:w="0" w:type="dxa"/>
              <w:bottom w:w="0" w:type="dxa"/>
              <w:right w:w="0" w:type="dxa"/>
            </w:tcMar>
            <w:vAlign w:val="center"/>
          </w:tcPr>
          <w:p>
            <w:pPr>
              <w:pStyle w:val="TableContents"/>
              <w:bidi w:val="0"/>
              <w:spacing w:before="0" w:after="283"/>
              <w:jc w:val="both"/>
              <w:rPr/>
            </w:pPr>
            <w:r>
              <w:rPr/>
              <w:t> </w:t>
            </w:r>
          </w:p>
        </w:tc>
        <w:tc>
          <w:tcPr>
            <w:tcW w:w="2535" w:type="dxa"/>
            <w:tcBorders/>
            <w:tcMar>
              <w:top w:w="0" w:type="dxa"/>
              <w:left w:w="0" w:type="dxa"/>
              <w:bottom w:w="0" w:type="dxa"/>
              <w:right w:w="0" w:type="dxa"/>
            </w:tcMar>
            <w:vAlign w:val="center"/>
          </w:tcPr>
          <w:p>
            <w:pPr>
              <w:pStyle w:val="TableContents"/>
              <w:bidi w:val="0"/>
              <w:spacing w:before="0" w:after="283"/>
              <w:jc w:val="both"/>
              <w:rPr/>
            </w:pPr>
            <w:r>
              <w:rPr/>
              <w:t> </w:t>
            </w:r>
          </w:p>
        </w:tc>
        <w:tc>
          <w:tcPr>
            <w:tcW w:w="23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2535"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Angeliki Frangou</w:t>
            </w:r>
          </w:p>
        </w:tc>
        <w:tc>
          <w:tcPr>
            <w:tcW w:w="239"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both"/>
              <w:rPr/>
            </w:pPr>
            <w:r>
              <w:rPr/>
              <w:t> </w:t>
            </w:r>
          </w:p>
        </w:tc>
        <w:tc>
          <w:tcPr>
            <w:tcW w:w="25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Angeliki Frangou</w:t>
            </w:r>
          </w:p>
        </w:tc>
        <w:tc>
          <w:tcPr>
            <w:tcW w:w="23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both"/>
              <w:rPr/>
            </w:pPr>
            <w:r>
              <w:rPr/>
              <w:t> </w:t>
            </w:r>
          </w:p>
        </w:tc>
        <w:tc>
          <w:tcPr>
            <w:tcW w:w="25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w:t>
            </w:r>
          </w:p>
        </w:tc>
        <w:tc>
          <w:tcPr>
            <w:tcW w:w="239"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 August 27, 2026</w:t>
      </w:r>
    </w:p>
    <w:p>
      <w:pPr>
        <w:pStyle w:val="TextBody"/>
        <w:bidi w:val="0"/>
        <w:jc w:val="center"/>
        <w:rPr>
          <w:rFonts w:ascii="Times New Roman" w:hAnsi="Times New Roman"/>
          <w:color w:val="000000"/>
          <w:sz w:val="22"/>
        </w:rPr>
      </w:pPr>
      <w:r>
        <w:rPr>
          <w:rFonts w:ascii="Times New Roman" w:hAnsi="Times New Roman"/>
          <w:color w:val="000000"/>
          <w:sz w:val="22"/>
        </w:rPr>
        <w:t>47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1"/>
        <w:bidi w:val="0"/>
        <w:spacing w:before="480" w:after="240"/>
        <w:jc w:val="center"/>
        <w:rPr>
          <w:rFonts w:ascii="Times New Roman" w:hAnsi="Times New Roman"/>
          <w:color w:val="000000"/>
          <w:sz w:val="20"/>
        </w:rPr>
      </w:pPr>
      <w:bookmarkStart w:id="19" w:name="nmm-ex99_1.htm"/>
      <w:bookmarkStart w:id="20" w:name="ksnmmex99_1"/>
      <w:bookmarkEnd w:id="19"/>
      <w:bookmarkEnd w:id="20"/>
      <w:r>
        <w:rPr>
          <w:rFonts w:ascii="Times New Roman" w:hAnsi="Times New Roman"/>
          <w:color w:val="000000"/>
          <w:sz w:val="20"/>
        </w:rPr>
        <w:t>Exhibit 99.1</w:t>
      </w:r>
      <w:r>
        <w:br w:type="page"/>
      </w:r>
    </w:p>
    <w:p>
      <w:pPr>
        <w:pStyle w:val="Heading1"/>
        <w:bidi w:val="0"/>
        <w:jc w:val="center"/>
        <w:rPr>
          <w:rFonts w:ascii="Times New Roman" w:hAnsi="Times New Roman"/>
          <w:color w:val="000000"/>
          <w:sz w:val="32"/>
        </w:rPr>
      </w:pPr>
      <w:r>
        <w:rPr>
          <w:rFonts w:ascii="Times New Roman" w:hAnsi="Times New Roman"/>
          <w:color w:val="000000"/>
          <w:sz w:val="32"/>
        </w:rPr>
        <w:t>Tap Issue Addendum</w:t>
      </w:r>
    </w:p>
    <w:p>
      <w:pPr>
        <w:pStyle w:val="TextBody"/>
        <w:bidi w:val="0"/>
        <w:spacing w:before="92"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pPr>
      <w:r>
        <w:rPr>
          <w:rFonts w:ascii="Times New Roman" w:hAnsi="Times New Roman"/>
          <w:color w:val="000000"/>
          <w:sz w:val="22"/>
        </w:rPr>
        <w:t>Pursuant to the bond terms dated 5 November 2025 for the Navios Maritime Partners L.P. senior unsecured USD 500,000,000 bonds 2025/2030 (the “</w:t>
      </w:r>
      <w:r>
        <w:rPr>
          <w:rFonts w:ascii="Times New Roman" w:hAnsi="Times New Roman"/>
          <w:b/>
          <w:color w:val="000000"/>
          <w:sz w:val="22"/>
        </w:rPr>
        <w:t>Bond Terms</w:t>
      </w:r>
      <w:r>
        <w:rPr>
          <w:color w:val="000000"/>
        </w:rPr>
        <w:t>”</w:t>
      </w:r>
      <w:r>
        <w:rPr>
          <w:rFonts w:ascii="Times New Roman" w:hAnsi="Times New Roman"/>
          <w:color w:val="000000"/>
          <w:sz w:val="22"/>
        </w:rPr>
        <w:t>), the Issuer and the Bond Trustee enter into this tap issue addendum (the ”</w:t>
      </w:r>
      <w:r>
        <w:rPr>
          <w:rFonts w:ascii="Times New Roman" w:hAnsi="Times New Roman"/>
          <w:b/>
          <w:color w:val="000000"/>
          <w:sz w:val="22"/>
        </w:rPr>
        <w:t>Addendum</w:t>
      </w:r>
      <w:r>
        <w:rPr>
          <w:color w:val="000000"/>
        </w:rPr>
        <w:t>”</w:t>
      </w:r>
      <w:r>
        <w:rPr>
          <w:rFonts w:ascii="Times New Roman" w:hAnsi="Times New Roman"/>
          <w:color w:val="000000"/>
          <w:sz w:val="22"/>
        </w:rPr>
        <w:t>) in connection with a Tap Issue under the Bond Terms:</w:t>
      </w:r>
    </w:p>
    <w:p>
      <w:pPr>
        <w:pStyle w:val="TextBody"/>
        <w:bidi w:val="0"/>
        <w:spacing w:before="24" w:after="283"/>
        <w:jc w:val="left"/>
        <w:rPr/>
      </w:pPr>
      <w:r>
        <w:rPr/>
        <w:t> </w:t>
      </w:r>
    </w:p>
    <w:tbl>
      <w:tblPr>
        <w:tblW w:w="7881" w:type="dxa"/>
        <w:jc w:val="left"/>
        <w:tblInd w:w="0" w:type="dxa"/>
        <w:tblLayout w:type="fixed"/>
        <w:tblCellMar>
          <w:top w:w="28" w:type="dxa"/>
          <w:left w:w="28" w:type="dxa"/>
          <w:bottom w:w="28" w:type="dxa"/>
          <w:right w:w="28" w:type="dxa"/>
        </w:tblCellMar>
      </w:tblPr>
      <w:tblGrid>
        <w:gridCol w:w="4818"/>
        <w:gridCol w:w="3063"/>
      </w:tblGrid>
      <w:tr>
        <w:trPr/>
        <w:tc>
          <w:tcPr>
            <w:tcW w:w="4818" w:type="dxa"/>
            <w:tcBorders/>
            <w:vAlign w:val="center"/>
          </w:tcPr>
          <w:p>
            <w:pPr>
              <w:pStyle w:val="TableContents"/>
              <w:bidi w:val="0"/>
              <w:spacing w:before="0" w:after="283"/>
              <w:jc w:val="left"/>
              <w:rPr>
                <w:sz w:val="4"/>
                <w:szCs w:val="4"/>
              </w:rPr>
            </w:pPr>
            <w:r>
              <w:rPr>
                <w:sz w:val="4"/>
                <w:szCs w:val="4"/>
              </w:rPr>
            </w:r>
          </w:p>
        </w:tc>
        <w:tc>
          <w:tcPr>
            <w:tcW w:w="3063"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4818"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ind w:left="0" w:right="0" w:firstLine="107"/>
              <w:jc w:val="left"/>
              <w:rPr>
                <w:rFonts w:ascii="Times New Roman" w:hAnsi="Times New Roman"/>
                <w:color w:val="000000"/>
                <w:sz w:val="22"/>
              </w:rPr>
            </w:pPr>
            <w:r>
              <w:rPr>
                <w:rFonts w:ascii="Times New Roman" w:hAnsi="Times New Roman"/>
                <w:color w:val="000000"/>
                <w:sz w:val="22"/>
              </w:rPr>
              <w:t>Issuer:</w:t>
            </w:r>
          </w:p>
        </w:tc>
        <w:tc>
          <w:tcPr>
            <w:tcW w:w="3063"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0" w:right="0" w:firstLine="107"/>
              <w:jc w:val="left"/>
              <w:rPr>
                <w:rFonts w:ascii="Times New Roman" w:hAnsi="Times New Roman"/>
                <w:color w:val="000000"/>
                <w:sz w:val="22"/>
              </w:rPr>
            </w:pPr>
            <w:r>
              <w:rPr>
                <w:rFonts w:ascii="Times New Roman" w:hAnsi="Times New Roman"/>
                <w:color w:val="000000"/>
                <w:sz w:val="22"/>
              </w:rPr>
              <w:t>Navios Maritime Partners L.P.</w:t>
            </w:r>
          </w:p>
        </w:tc>
      </w:tr>
      <w:tr>
        <w:trPr/>
        <w:tc>
          <w:tcPr>
            <w:tcW w:w="481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2"/>
              </w:rPr>
            </w:pPr>
            <w:r>
              <w:rPr>
                <w:rFonts w:ascii="Times New Roman" w:hAnsi="Times New Roman"/>
                <w:color w:val="000000"/>
                <w:sz w:val="22"/>
              </w:rPr>
              <w:t>Bond Trustee:</w:t>
            </w:r>
          </w:p>
        </w:tc>
        <w:tc>
          <w:tcPr>
            <w:tcW w:w="306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2"/>
              </w:rPr>
            </w:pPr>
            <w:r>
              <w:rPr>
                <w:rFonts w:ascii="Times New Roman" w:hAnsi="Times New Roman"/>
                <w:color w:val="000000"/>
                <w:sz w:val="22"/>
              </w:rPr>
              <w:t>Nordic Trustee AS</w:t>
            </w:r>
          </w:p>
        </w:tc>
      </w:tr>
      <w:tr>
        <w:trPr/>
        <w:tc>
          <w:tcPr>
            <w:tcW w:w="481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 w:after="283"/>
              <w:ind w:left="0" w:right="0" w:firstLine="107"/>
              <w:jc w:val="left"/>
              <w:rPr>
                <w:rFonts w:ascii="Times New Roman" w:hAnsi="Times New Roman"/>
                <w:color w:val="000000"/>
                <w:sz w:val="22"/>
              </w:rPr>
            </w:pPr>
            <w:r>
              <w:rPr>
                <w:rFonts w:ascii="Times New Roman" w:hAnsi="Times New Roman"/>
                <w:color w:val="000000"/>
                <w:sz w:val="22"/>
              </w:rPr>
              <w:t>ISIN for the Bonds:</w:t>
            </w:r>
          </w:p>
        </w:tc>
        <w:tc>
          <w:tcPr>
            <w:tcW w:w="3063" w:type="dxa"/>
            <w:tcBorders>
              <w:bottom w:val="single" w:sz="4" w:space="0" w:color="000000"/>
              <w:right w:val="single" w:sz="4" w:space="0" w:color="000000"/>
            </w:tcBorders>
            <w:tcMar>
              <w:top w:w="0" w:type="dxa"/>
              <w:left w:w="0" w:type="dxa"/>
            </w:tcMar>
            <w:vAlign w:val="center"/>
          </w:tcPr>
          <w:p>
            <w:pPr>
              <w:pStyle w:val="TableContents"/>
              <w:bidi w:val="0"/>
              <w:spacing w:before="1" w:after="283"/>
              <w:ind w:left="0" w:right="0" w:firstLine="107"/>
              <w:jc w:val="left"/>
              <w:rPr>
                <w:rFonts w:ascii="Times New Roman" w:hAnsi="Times New Roman"/>
                <w:color w:val="000000"/>
                <w:sz w:val="22"/>
              </w:rPr>
            </w:pPr>
            <w:r>
              <w:rPr>
                <w:rFonts w:ascii="Times New Roman" w:hAnsi="Times New Roman"/>
                <w:color w:val="000000"/>
                <w:sz w:val="22"/>
              </w:rPr>
              <w:t>NO0013685115</w:t>
            </w:r>
          </w:p>
        </w:tc>
      </w:tr>
      <w:tr>
        <w:trPr/>
        <w:tc>
          <w:tcPr>
            <w:tcW w:w="481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2"/>
              </w:rPr>
            </w:pPr>
            <w:r>
              <w:rPr>
                <w:rFonts w:ascii="Times New Roman" w:hAnsi="Times New Roman"/>
                <w:color w:val="000000"/>
                <w:sz w:val="22"/>
              </w:rPr>
              <w:t>Maximum Issue Amount:</w:t>
            </w:r>
          </w:p>
        </w:tc>
        <w:tc>
          <w:tcPr>
            <w:tcW w:w="306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2"/>
              </w:rPr>
            </w:pPr>
            <w:r>
              <w:rPr>
                <w:rFonts w:ascii="Times New Roman" w:hAnsi="Times New Roman"/>
                <w:color w:val="000000"/>
                <w:sz w:val="22"/>
              </w:rPr>
              <w:t>USD 500,000,000</w:t>
            </w:r>
          </w:p>
        </w:tc>
      </w:tr>
      <w:tr>
        <w:trPr/>
        <w:tc>
          <w:tcPr>
            <w:tcW w:w="481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2"/>
              </w:rPr>
            </w:pPr>
            <w:r>
              <w:rPr>
                <w:rFonts w:ascii="Times New Roman" w:hAnsi="Times New Roman"/>
                <w:color w:val="000000"/>
                <w:sz w:val="22"/>
              </w:rPr>
              <w:t>Amount of Additional Bonds:</w:t>
            </w:r>
          </w:p>
        </w:tc>
        <w:tc>
          <w:tcPr>
            <w:tcW w:w="306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2"/>
              </w:rPr>
            </w:pPr>
            <w:r>
              <w:rPr>
                <w:rFonts w:ascii="Times New Roman" w:hAnsi="Times New Roman"/>
                <w:color w:val="000000"/>
                <w:sz w:val="22"/>
              </w:rPr>
              <w:t>USD 30,000,000</w:t>
            </w:r>
          </w:p>
        </w:tc>
      </w:tr>
      <w:tr>
        <w:trPr/>
        <w:tc>
          <w:tcPr>
            <w:tcW w:w="481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2"/>
              </w:rPr>
            </w:pPr>
            <w:r>
              <w:rPr>
                <w:rFonts w:ascii="Times New Roman" w:hAnsi="Times New Roman"/>
                <w:color w:val="000000"/>
                <w:sz w:val="22"/>
              </w:rPr>
              <w:t>Amount of Outstanding Bonds after the increase:</w:t>
            </w:r>
          </w:p>
        </w:tc>
        <w:tc>
          <w:tcPr>
            <w:tcW w:w="306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2"/>
              </w:rPr>
            </w:pPr>
            <w:r>
              <w:rPr>
                <w:rFonts w:ascii="Times New Roman" w:hAnsi="Times New Roman"/>
                <w:color w:val="000000"/>
                <w:sz w:val="22"/>
              </w:rPr>
              <w:t>USD 330,000,000</w:t>
            </w:r>
          </w:p>
        </w:tc>
      </w:tr>
      <w:tr>
        <w:trPr/>
        <w:tc>
          <w:tcPr>
            <w:tcW w:w="481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2"/>
              </w:rPr>
            </w:pPr>
            <w:r>
              <w:rPr>
                <w:rFonts w:ascii="Times New Roman" w:hAnsi="Times New Roman"/>
                <w:color w:val="000000"/>
                <w:sz w:val="22"/>
              </w:rPr>
              <w:t>Date of Addendum:</w:t>
            </w:r>
          </w:p>
        </w:tc>
        <w:tc>
          <w:tcPr>
            <w:tcW w:w="306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2"/>
              </w:rPr>
            </w:pPr>
            <w:r>
              <w:rPr>
                <w:rFonts w:ascii="Times New Roman" w:hAnsi="Times New Roman"/>
                <w:color w:val="000000"/>
                <w:sz w:val="22"/>
              </w:rPr>
              <w:t>2 June 2026</w:t>
            </w:r>
          </w:p>
        </w:tc>
      </w:tr>
      <w:tr>
        <w:trPr/>
        <w:tc>
          <w:tcPr>
            <w:tcW w:w="481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07"/>
              <w:jc w:val="left"/>
              <w:rPr>
                <w:rFonts w:ascii="Times New Roman" w:hAnsi="Times New Roman"/>
                <w:color w:val="000000"/>
                <w:sz w:val="22"/>
              </w:rPr>
            </w:pPr>
            <w:r>
              <w:rPr>
                <w:rFonts w:ascii="Times New Roman" w:hAnsi="Times New Roman"/>
                <w:color w:val="000000"/>
                <w:sz w:val="22"/>
              </w:rPr>
              <w:t>Tap Issue Date:</w:t>
            </w:r>
          </w:p>
        </w:tc>
        <w:tc>
          <w:tcPr>
            <w:tcW w:w="3063" w:type="dxa"/>
            <w:tcBorders>
              <w:bottom w:val="single" w:sz="4" w:space="0" w:color="000000"/>
              <w:right w:val="single" w:sz="4" w:space="0" w:color="000000"/>
            </w:tcBorders>
            <w:tcMar>
              <w:top w:w="0" w:type="dxa"/>
              <w:left w:w="0" w:type="dxa"/>
            </w:tcMar>
            <w:vAlign w:val="center"/>
          </w:tcPr>
          <w:p>
            <w:pPr>
              <w:pStyle w:val="TableContents"/>
              <w:bidi w:val="0"/>
              <w:spacing w:before="0" w:after="283"/>
              <w:ind w:left="0" w:right="0" w:firstLine="107"/>
              <w:jc w:val="left"/>
              <w:rPr>
                <w:rFonts w:ascii="Times New Roman" w:hAnsi="Times New Roman"/>
                <w:color w:val="000000"/>
                <w:sz w:val="22"/>
              </w:rPr>
            </w:pPr>
            <w:r>
              <w:rPr>
                <w:rFonts w:ascii="Times New Roman" w:hAnsi="Times New Roman"/>
                <w:color w:val="000000"/>
                <w:sz w:val="22"/>
              </w:rPr>
              <w:t>4 June 2026</w:t>
            </w:r>
          </w:p>
        </w:tc>
      </w:tr>
    </w:tbl>
    <w:p>
      <w:pPr>
        <w:pStyle w:val="TextBody"/>
        <w:bidi w:val="0"/>
        <w:jc w:val="left"/>
        <w:rPr/>
      </w:pPr>
      <w:r>
        <w:rPr/>
        <w:t> </w:t>
      </w:r>
    </w:p>
    <w:p>
      <w:pPr>
        <w:pStyle w:val="TextBody"/>
        <w:bidi w:val="0"/>
        <w:spacing w:before="3"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Terms defined in the Bond Terms have, unless expressly defined herein or otherwise required by the context, the same meaning in this Addendum. This Addendum is a Finance Document and after the date hereof all references to the Bond Terms in the other Finance Documents shall be construed as references to the Bond Terms as amended by this Addendum.</w:t>
      </w:r>
    </w:p>
    <w:p>
      <w:pPr>
        <w:pStyle w:val="TextBody"/>
        <w:bidi w:val="0"/>
        <w:spacing w:before="253"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253" w:after="283"/>
        <w:jc w:val="both"/>
        <w:rPr>
          <w:rFonts w:ascii="Times New Roman" w:hAnsi="Times New Roman"/>
          <w:color w:val="000000"/>
          <w:sz w:val="22"/>
        </w:rPr>
      </w:pPr>
      <w:r>
        <w:rPr>
          <w:rFonts w:ascii="Times New Roman" w:hAnsi="Times New Roman"/>
          <w:color w:val="000000"/>
          <w:sz w:val="22"/>
        </w:rPr>
        <w:t>Pursuant to the Bond Terms the Issuer may issue Additional Bonds until the Nominal Amount of all Additional Bonds equals in aggregate the Maximum Issue Amount less the Initial Bond Issue. The provisions of the Bond Terms will apply to all such Additional Bonds.</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Bonds are listed on the Exchange and the Additional Bonds will be listed together with such Bonds.</w:t>
      </w:r>
    </w:p>
    <w:p>
      <w:pPr>
        <w:pStyle w:val="TextBody"/>
        <w:bidi w:val="0"/>
        <w:spacing w:before="253"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253" w:after="283"/>
        <w:jc w:val="both"/>
        <w:rPr>
          <w:rFonts w:ascii="Times New Roman" w:hAnsi="Times New Roman"/>
          <w:color w:val="000000"/>
          <w:sz w:val="22"/>
        </w:rPr>
      </w:pPr>
      <w:r>
        <w:rPr>
          <w:rFonts w:ascii="Times New Roman" w:hAnsi="Times New Roman"/>
          <w:color w:val="000000"/>
          <w:sz w:val="22"/>
        </w:rPr>
        <w:t>The Net Proceeds from the Tap Issue will be applied towards general corporate purposes of the Group.</w:t>
      </w:r>
    </w:p>
    <w:p>
      <w:pPr>
        <w:pStyle w:val="TextBody"/>
        <w:bidi w:val="0"/>
        <w:spacing w:before="189" w:after="283"/>
        <w:jc w:val="both"/>
        <w:rPr>
          <w:rFonts w:ascii="Times New Roman" w:hAnsi="Times New Roman"/>
          <w:color w:val="000000"/>
          <w:sz w:val="22"/>
        </w:rPr>
      </w:pPr>
      <w:r>
        <w:rPr>
          <w:rFonts w:ascii="Times New Roman" w:hAnsi="Times New Roman"/>
          <w:color w:val="000000"/>
          <w:sz w:val="22"/>
        </w:rPr>
        <w:t>6.</w:t>
      </w:r>
    </w:p>
    <w:p>
      <w:pPr>
        <w:pStyle w:val="TextBody"/>
        <w:bidi w:val="0"/>
        <w:spacing w:before="189" w:after="283"/>
        <w:jc w:val="both"/>
        <w:rPr>
          <w:rFonts w:ascii="Times New Roman" w:hAnsi="Times New Roman"/>
          <w:color w:val="000000"/>
          <w:sz w:val="22"/>
        </w:rPr>
      </w:pPr>
      <w:r>
        <w:rPr>
          <w:rFonts w:ascii="Times New Roman" w:hAnsi="Times New Roman"/>
          <w:color w:val="000000"/>
          <w:sz w:val="22"/>
        </w:rPr>
        <w:t>The issuance of Additional Bonds and disbursement of the Net Proceeds of the Tap Issue to the Issuer shall be conditional on the Bond Trustee having received in due time (as determined by the Bond Trustee) prior to the Tap Issue Date each of the following documents, in form and substance satisfactory to the Bond Trustee:</w:t>
      </w:r>
    </w:p>
    <w:p>
      <w:pPr>
        <w:pStyle w:val="TextBody"/>
        <w:bidi w:val="0"/>
        <w:spacing w:before="21" w:after="283"/>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(i)</w:t>
      </w:r>
    </w:p>
    <w:p>
      <w:pPr>
        <w:pStyle w:val="TextBody"/>
        <w:bidi w:val="0"/>
        <w:jc w:val="left"/>
        <w:rPr>
          <w:rFonts w:ascii="Times New Roman" w:hAnsi="Times New Roman"/>
          <w:color w:val="000000"/>
          <w:sz w:val="22"/>
        </w:rPr>
      </w:pPr>
      <w:r>
        <w:rPr>
          <w:rFonts w:ascii="Times New Roman" w:hAnsi="Times New Roman"/>
          <w:color w:val="000000"/>
          <w:sz w:val="22"/>
        </w:rPr>
        <w:t>this Addendum duly executed by all parties hereto;</w:t>
      </w:r>
    </w:p>
    <w:p>
      <w:pPr>
        <w:pStyle w:val="TextBody"/>
        <w:bidi w:val="0"/>
        <w:spacing w:before="15"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confirmation from the Issuer that the representations and warranties set out in Clause 7 (Representations and Warranties) of the Bond Terms remain true and correct and are repeated by the Issuer as at the date of issuance of the Additional Bonds;</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copies of corporate resolutions required for the Tap Issue and any power of attorney or other authorisation required for the execution of the Tap Issue Addendum and any other Finance Document;</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confirmation that the applicable prospectus requirements (cf. the EU prospectus regulation ((EU) 2017/1129)) concerning the issuance of the Additional Bonds have been fulfilled;</w:t>
      </w:r>
    </w:p>
    <w:p>
      <w:pPr>
        <w:pStyle w:val="HorizontalLine"/>
        <w:pBdr>
          <w:bottom w:val="double" w:sz="2" w:space="0" w:color="808080"/>
        </w:pBdr>
        <w:bidi w:val="0"/>
        <w:spacing w:before="0" w:after="283"/>
        <w:jc w:val="left"/>
        <w:rPr/>
      </w:pPr>
      <w:r>
        <w:rPr/>
      </w:r>
    </w:p>
    <w:p>
      <w:pPr>
        <w:pStyle w:val="TextBody"/>
        <w:bidi w:val="0"/>
        <w:spacing w:before="67" w:after="283"/>
        <w:jc w:val="both"/>
        <w:rPr>
          <w:rFonts w:ascii="Times New Roman" w:hAnsi="Times New Roman"/>
          <w:color w:val="000000"/>
          <w:sz w:val="22"/>
        </w:rPr>
      </w:pPr>
      <w:r>
        <w:rPr>
          <w:rFonts w:ascii="Times New Roman" w:hAnsi="Times New Roman"/>
          <w:color w:val="000000"/>
          <w:sz w:val="22"/>
        </w:rPr>
        <w:t>(v)</w:t>
      </w:r>
    </w:p>
    <w:p>
      <w:pPr>
        <w:pStyle w:val="TextBody"/>
        <w:bidi w:val="0"/>
        <w:spacing w:before="67" w:after="283"/>
        <w:jc w:val="both"/>
        <w:rPr>
          <w:rFonts w:ascii="Times New Roman" w:hAnsi="Times New Roman"/>
          <w:color w:val="000000"/>
          <w:sz w:val="22"/>
        </w:rPr>
      </w:pPr>
      <w:r>
        <w:rPr>
          <w:rFonts w:ascii="Times New Roman" w:hAnsi="Times New Roman"/>
          <w:color w:val="000000"/>
          <w:sz w:val="22"/>
        </w:rPr>
        <w:t>copies of any necessary governmental approval, consent or waiver (as the case may be) required at such time to issue the Additional Bonds;</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(vi)</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copies of any written documentation used in marketing the Additional Bonds or made public by the Issuer or any Manager in connection with the issuance of the Additional Bonds; and</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(vii)</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legal opinions or other statements as may be required by the Bond Trustee (including in respect of corporate matters relating to the Issuer and the legality, validity and enforceability of the Tap Issue Addendum and any other Finance Documents (if applicable)).</w:t>
      </w:r>
    </w:p>
    <w:p>
      <w:pPr>
        <w:pStyle w:val="TextBody"/>
        <w:bidi w:val="0"/>
        <w:spacing w:before="216" w:after="283"/>
        <w:jc w:val="left"/>
        <w:rPr>
          <w:rFonts w:ascii="Times New Roman" w:hAnsi="Times New Roman"/>
          <w:color w:val="000000"/>
          <w:sz w:val="22"/>
        </w:rPr>
      </w:pPr>
      <w:r>
        <w:rPr>
          <w:rFonts w:ascii="Times New Roman" w:hAnsi="Times New Roman"/>
          <w:color w:val="000000"/>
          <w:sz w:val="22"/>
        </w:rPr>
        <w:t>The Bond Trustee may (at its sole discretion and in each case) waive or postpone the delivery of certain conditions precedent.</w:t>
      </w:r>
    </w:p>
    <w:p>
      <w:pPr>
        <w:pStyle w:val="TextBody"/>
        <w:bidi w:val="0"/>
        <w:spacing w:before="252" w:after="283"/>
        <w:jc w:val="left"/>
        <w:rPr>
          <w:rFonts w:ascii="Times New Roman" w:hAnsi="Times New Roman"/>
          <w:color w:val="000000"/>
          <w:sz w:val="22"/>
        </w:rPr>
      </w:pPr>
      <w:r>
        <w:rPr>
          <w:rFonts w:ascii="Times New Roman" w:hAnsi="Times New Roman"/>
          <w:color w:val="000000"/>
          <w:sz w:val="22"/>
        </w:rPr>
        <w:t>7.</w:t>
      </w:r>
    </w:p>
    <w:p>
      <w:pPr>
        <w:pStyle w:val="TextBody"/>
        <w:bidi w:val="0"/>
        <w:spacing w:before="252" w:after="283"/>
        <w:jc w:val="left"/>
        <w:rPr>
          <w:rFonts w:ascii="Times New Roman" w:hAnsi="Times New Roman"/>
          <w:color w:val="000000"/>
          <w:sz w:val="22"/>
        </w:rPr>
      </w:pPr>
      <w:r>
        <w:rPr>
          <w:rFonts w:ascii="Times New Roman" w:hAnsi="Times New Roman"/>
          <w:color w:val="000000"/>
          <w:sz w:val="22"/>
        </w:rPr>
        <w:t>By its signature to this Addendum, the Issuer confirms that:</w:t>
      </w:r>
    </w:p>
    <w:p>
      <w:pPr>
        <w:pStyle w:val="TextBody"/>
        <w:bidi w:val="0"/>
        <w:spacing w:before="22"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no Event of Default under the Bond Terms has occurred or would occur as a result of the Tap Issue; and</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38" w:after="283"/>
        <w:jc w:val="both"/>
        <w:rPr/>
      </w:pPr>
      <w:r>
        <w:rPr>
          <w:rFonts w:ascii="Times New Roman" w:hAnsi="Times New Roman"/>
          <w:color w:val="000000"/>
          <w:sz w:val="22"/>
        </w:rPr>
        <w:t>the representations and warranties contained in Clause 7 (</w:t>
      </w:r>
      <w:r>
        <w:rPr>
          <w:rFonts w:ascii="Times New Roman" w:hAnsi="Times New Roman"/>
          <w:i/>
          <w:color w:val="000000"/>
          <w:sz w:val="22"/>
        </w:rPr>
        <w:t>Representations and Warranties</w:t>
      </w:r>
      <w:r>
        <w:rPr>
          <w:rFonts w:ascii="Times New Roman" w:hAnsi="Times New Roman"/>
          <w:color w:val="000000"/>
          <w:sz w:val="22"/>
        </w:rPr>
        <w:t>) of the Bond Terms are true and correct in all material respects and are repeated on the date of this Addendum and on the Tap Issue Date.</w:t>
      </w:r>
    </w:p>
    <w:p>
      <w:pPr>
        <w:pStyle w:val="TextBody"/>
        <w:bidi w:val="0"/>
        <w:spacing w:before="216" w:after="283"/>
        <w:jc w:val="left"/>
        <w:rPr>
          <w:rFonts w:ascii="Times New Roman" w:hAnsi="Times New Roman"/>
          <w:color w:val="000000"/>
          <w:sz w:val="22"/>
        </w:rPr>
      </w:pPr>
      <w:r>
        <w:rPr>
          <w:rFonts w:ascii="Times New Roman" w:hAnsi="Times New Roman"/>
          <w:color w:val="000000"/>
          <w:sz w:val="22"/>
        </w:rPr>
        <w:t>8.</w:t>
      </w:r>
    </w:p>
    <w:p>
      <w:pPr>
        <w:pStyle w:val="TextBody"/>
        <w:bidi w:val="0"/>
        <w:spacing w:before="216" w:after="283"/>
        <w:jc w:val="left"/>
        <w:rPr>
          <w:rFonts w:ascii="Times New Roman" w:hAnsi="Times New Roman"/>
          <w:color w:val="000000"/>
          <w:sz w:val="22"/>
        </w:rPr>
      </w:pPr>
      <w:r>
        <w:rPr>
          <w:rFonts w:ascii="Times New Roman" w:hAnsi="Times New Roman"/>
          <w:color w:val="000000"/>
          <w:sz w:val="22"/>
        </w:rPr>
        <w:t>This Addendum shall be governed by Norwegian law and be subject to Norwegian jurisdiction, with the Oslo District Court as the court of first instance.</w:t>
      </w:r>
    </w:p>
    <w:p>
      <w:pPr>
        <w:pStyle w:val="TextBody"/>
        <w:bidi w:val="0"/>
        <w:jc w:val="left"/>
        <w:rPr/>
      </w:pPr>
      <w:r>
        <w:rPr/>
        <w:t> </w:t>
      </w:r>
    </w:p>
    <w:p>
      <w:pPr>
        <w:pStyle w:val="TextBody"/>
        <w:bidi w:val="0"/>
        <w:spacing w:before="135" w:after="283"/>
        <w:jc w:val="center"/>
        <w:rPr/>
      </w:pPr>
      <w:r>
        <w:rPr/>
        <w:t> </w:t>
      </w:r>
    </w:p>
    <w:p>
      <w:pPr>
        <w:pStyle w:val="TextBody"/>
        <w:bidi w:val="0"/>
        <w:spacing w:before="135" w:after="283"/>
        <w:jc w:val="center"/>
        <w:rPr>
          <w:rFonts w:ascii="Times New Roman" w:hAnsi="Times New Roman"/>
          <w:color w:val="000000"/>
          <w:sz w:val="22"/>
        </w:rPr>
      </w:pPr>
      <w:r>
        <w:rPr>
          <w:rFonts w:ascii="Times New Roman" w:hAnsi="Times New Roman"/>
          <w:color w:val="000000"/>
          <w:sz w:val="22"/>
        </w:rPr>
        <w:t>----000----</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5" w:after="283"/>
        <w:jc w:val="left"/>
        <w:rPr/>
      </w:pPr>
      <w:r>
        <w:rPr/>
        <w:t> </w:t>
      </w:r>
    </w:p>
    <w:p>
      <w:pPr>
        <w:pStyle w:val="TextBody"/>
        <w:bidi w:val="0"/>
        <w:spacing w:before="1" w:after="283"/>
        <w:jc w:val="center"/>
        <w:rPr>
          <w:rFonts w:ascii="Times New Roman" w:hAnsi="Times New Roman"/>
          <w:i/>
          <w:color w:val="000000"/>
          <w:sz w:val="22"/>
        </w:rPr>
      </w:pPr>
      <w:r>
        <w:rPr>
          <w:rFonts w:ascii="Times New Roman" w:hAnsi="Times New Roman"/>
          <w:i/>
          <w:color w:val="000000"/>
          <w:sz w:val="22"/>
        </w:rPr>
        <w:t>[separate signature page to follow]</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10" w:after="283"/>
        <w:jc w:val="center"/>
        <w:rPr>
          <w:rFonts w:ascii="Times New Roman" w:hAnsi="Times New Roman"/>
          <w:b/>
          <w:color w:val="0E0E0F"/>
          <w:sz w:val="21"/>
        </w:rPr>
      </w:pPr>
      <w:r>
        <w:rPr>
          <w:rFonts w:ascii="Times New Roman" w:hAnsi="Times New Roman"/>
          <w:b/>
          <w:color w:val="0E0E0F"/>
          <w:sz w:val="21"/>
        </w:rPr>
        <w:t>SIGNATURES:</w:t>
      </w:r>
    </w:p>
    <w:p>
      <w:pPr>
        <w:pStyle w:val="Heading2"/>
        <w:bidi w:val="0"/>
        <w:spacing w:before="11" w:after="283"/>
        <w:jc w:val="left"/>
        <w:rPr>
          <w:rFonts w:ascii="Times New Roman" w:hAnsi="Times New Roman"/>
          <w:color w:val="0E0E0F"/>
          <w:sz w:val="22"/>
        </w:rPr>
      </w:pPr>
      <w:r>
        <w:rPr>
          <w:rFonts w:ascii="Times New Roman" w:hAnsi="Times New Roman"/>
          <w:color w:val="0E0E0F"/>
          <w:sz w:val="22"/>
        </w:rPr>
        <w:t>THE ISSUER</w:t>
      </w:r>
    </w:p>
    <w:p>
      <w:pPr>
        <w:pStyle w:val="TextBody"/>
        <w:bidi w:val="0"/>
        <w:spacing w:before="22" w:after="283"/>
        <w:jc w:val="left"/>
        <w:rPr/>
      </w:pPr>
      <w:r>
        <w:rPr/>
        <w:t> </w:t>
      </w:r>
    </w:p>
    <w:p>
      <w:pPr>
        <w:pStyle w:val="TextBody"/>
        <w:bidi w:val="0"/>
        <w:jc w:val="left"/>
        <w:rPr>
          <w:rFonts w:ascii="Times New Roman" w:hAnsi="Times New Roman"/>
          <w:b/>
          <w:color w:val="0E0E0F"/>
          <w:sz w:val="22"/>
        </w:rPr>
      </w:pPr>
      <w:r>
        <w:rPr>
          <w:rFonts w:ascii="Times New Roman" w:hAnsi="Times New Roman"/>
          <w:b/>
          <w:color w:val="0E0E0F"/>
          <w:sz w:val="22"/>
        </w:rPr>
        <w:t>Navios Maritime Partners L.P.</w:t>
      </w:r>
    </w:p>
    <w:p>
      <w:pPr>
        <w:pStyle w:val="TextBody"/>
        <w:bidi w:val="0"/>
        <w:jc w:val="left"/>
        <w:rPr/>
      </w:pPr>
      <w:r>
        <w:rPr/>
        <w:t> </w:t>
      </w:r>
    </w:p>
    <w:p>
      <w:pPr>
        <w:pStyle w:val="TextBody"/>
        <w:bidi w:val="0"/>
        <w:spacing w:before="33" w:after="283"/>
        <w:jc w:val="left"/>
        <w:rPr/>
      </w:pPr>
      <w:r>
        <w:rPr/>
        <w:t> </w:t>
      </w:r>
    </w:p>
    <w:p>
      <w:pPr>
        <w:pStyle w:val="TextBody"/>
        <w:bidi w:val="0"/>
        <w:jc w:val="left"/>
        <w:rPr>
          <w:rFonts w:ascii="Times New Roman" w:hAnsi="Times New Roman"/>
          <w:color w:val="0E0E0F"/>
          <w:sz w:val="20"/>
        </w:rPr>
      </w:pPr>
      <w:r>
        <w:rPr>
          <w:rFonts w:ascii="Times New Roman" w:hAnsi="Times New Roman"/>
          <w:color w:val="0E0E0F"/>
          <w:sz w:val="20"/>
        </w:rPr>
        <w:t xml:space="preserve">By: /s/ Georgios Panagakis </w:t>
      </w:r>
    </w:p>
    <w:p>
      <w:pPr>
        <w:pStyle w:val="TextBody"/>
        <w:bidi w:val="0"/>
        <w:jc w:val="left"/>
        <w:rPr>
          <w:rFonts w:ascii="Times New Roman" w:hAnsi="Times New Roman"/>
          <w:color w:val="0E0E0F"/>
          <w:sz w:val="20"/>
        </w:rPr>
      </w:pPr>
      <w:r>
        <w:rPr>
          <w:rFonts w:ascii="Times New Roman" w:hAnsi="Times New Roman"/>
          <w:color w:val="0E0E0F"/>
          <w:sz w:val="20"/>
        </w:rPr>
        <w:t>Title: Attorney-in-fact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95" w:after="283"/>
        <w:jc w:val="left"/>
        <w:rPr/>
      </w:pPr>
      <w:r>
        <w:rPr/>
        <w:t> </w:t>
      </w:r>
    </w:p>
    <w:p>
      <w:pPr>
        <w:pStyle w:val="TextBody"/>
        <w:bidi w:val="0"/>
        <w:jc w:val="left"/>
        <w:rPr/>
      </w:pPr>
      <w:r>
        <w:rPr/>
        <w:t> </w:t>
      </w:r>
    </w:p>
    <w:p>
      <w:pPr>
        <w:pStyle w:val="TextBody"/>
        <w:bidi w:val="0"/>
        <w:spacing w:before="1" w:after="283"/>
        <w:jc w:val="center"/>
        <w:rPr>
          <w:rFonts w:ascii="Times New Roman" w:hAnsi="Times New Roman"/>
          <w:sz w:val="20"/>
        </w:rPr>
      </w:pPr>
      <w:r>
        <w:rPr>
          <w:rFonts w:ascii="Arial" w:hAnsi="Arial"/>
          <w:i/>
          <w:color w:val="383838"/>
          <w:sz w:val="20"/>
        </w:rPr>
        <w:t xml:space="preserve">[Signature page </w:t>
      </w:r>
      <w:r>
        <w:rPr>
          <w:rFonts w:ascii="Arial" w:hAnsi="Arial"/>
          <w:color w:val="383838"/>
          <w:sz w:val="20"/>
        </w:rPr>
        <w:t xml:space="preserve">- </w:t>
      </w:r>
      <w:r>
        <w:rPr>
          <w:rFonts w:ascii="Arial" w:hAnsi="Arial"/>
          <w:i/>
          <w:color w:val="383838"/>
          <w:sz w:val="20"/>
        </w:rPr>
        <w:t xml:space="preserve">Tap lssue Addendum </w:t>
      </w:r>
      <w:r>
        <w:rPr>
          <w:rFonts w:ascii="Arial" w:hAnsi="Arial"/>
          <w:color w:val="383838"/>
          <w:sz w:val="20"/>
        </w:rPr>
        <w:t xml:space="preserve">- </w:t>
      </w:r>
      <w:r>
        <w:rPr>
          <w:rFonts w:ascii="Arial" w:hAnsi="Arial"/>
          <w:i/>
          <w:color w:val="383838"/>
          <w:sz w:val="20"/>
        </w:rPr>
        <w:t>Project Epta]</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10" w:after="283"/>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2"/>
        <w:bidi w:val="0"/>
        <w:spacing w:before="72" w:after="283"/>
        <w:jc w:val="left"/>
        <w:rPr>
          <w:rFonts w:ascii="Times New Roman" w:hAnsi="Times New Roman"/>
          <w:color w:val="383838"/>
          <w:sz w:val="22"/>
        </w:rPr>
      </w:pPr>
      <w:r>
        <w:rPr>
          <w:rFonts w:ascii="Times New Roman" w:hAnsi="Times New Roman"/>
          <w:color w:val="383838"/>
          <w:sz w:val="22"/>
        </w:rPr>
        <w:t>THE BOND TRUSTEE</w:t>
      </w:r>
    </w:p>
    <w:p>
      <w:pPr>
        <w:pStyle w:val="TextBody"/>
        <w:bidi w:val="0"/>
        <w:spacing w:before="3" w:after="283"/>
        <w:jc w:val="left"/>
        <w:rPr/>
      </w:pPr>
      <w:r>
        <w:rPr/>
        <w:t> </w:t>
      </w:r>
    </w:p>
    <w:p>
      <w:pPr>
        <w:pStyle w:val="TextBody"/>
        <w:bidi w:val="0"/>
        <w:jc w:val="left"/>
        <w:rPr>
          <w:rFonts w:ascii="Times New Roman" w:hAnsi="Times New Roman"/>
          <w:b/>
          <w:color w:val="383838"/>
          <w:sz w:val="22"/>
        </w:rPr>
      </w:pPr>
      <w:r>
        <w:rPr>
          <w:rFonts w:ascii="Times New Roman" w:hAnsi="Times New Roman"/>
          <w:b/>
          <w:color w:val="383838"/>
          <w:sz w:val="22"/>
        </w:rPr>
        <w:t>Nordic Trustee AS</w:t>
      </w:r>
    </w:p>
    <w:p>
      <w:pPr>
        <w:pStyle w:val="TextBody"/>
        <w:bidi w:val="0"/>
        <w:jc w:val="left"/>
        <w:rPr/>
      </w:pPr>
      <w:r>
        <w:rPr/>
        <w:t> </w:t>
      </w:r>
    </w:p>
    <w:p>
      <w:pPr>
        <w:pStyle w:val="TextBody"/>
        <w:bidi w:val="0"/>
        <w:spacing w:before="7" w:after="283"/>
        <w:jc w:val="left"/>
        <w:rPr/>
      </w:pPr>
      <w:r>
        <w:rPr/>
        <w:t> </w:t>
      </w:r>
    </w:p>
    <w:p>
      <w:pPr>
        <w:pStyle w:val="TextBody"/>
        <w:bidi w:val="0"/>
        <w:spacing w:before="1" w:after="283"/>
        <w:jc w:val="left"/>
        <w:rPr>
          <w:rFonts w:ascii="Times New Roman" w:hAnsi="Times New Roman"/>
          <w:color w:val="383838"/>
          <w:sz w:val="20"/>
        </w:rPr>
      </w:pPr>
      <w:r>
        <w:rPr>
          <w:rFonts w:ascii="Times New Roman" w:hAnsi="Times New Roman"/>
          <w:color w:val="383838"/>
          <w:sz w:val="20"/>
        </w:rPr>
        <w:t>By:/s/ Olav Slagsvold Title:Authorised signatory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 w:after="283"/>
        <w:jc w:val="center"/>
        <w:rPr/>
      </w:pPr>
      <w:r>
        <w:rPr/>
        <w:t> </w:t>
      </w:r>
    </w:p>
    <w:p>
      <w:pPr>
        <w:pStyle w:val="TextBody"/>
        <w:bidi w:val="0"/>
        <w:spacing w:before="1" w:after="283"/>
        <w:jc w:val="center"/>
        <w:rPr/>
      </w:pPr>
      <w:r>
        <w:rPr/>
        <w:t> </w:t>
      </w:r>
    </w:p>
    <w:p>
      <w:pPr>
        <w:pStyle w:val="TextBody"/>
        <w:bidi w:val="0"/>
        <w:spacing w:before="1" w:after="283"/>
        <w:jc w:val="center"/>
        <w:rPr/>
      </w:pPr>
      <w:r>
        <w:rPr/>
        <w:t> </w:t>
      </w:r>
    </w:p>
    <w:p>
      <w:pPr>
        <w:pStyle w:val="TextBody"/>
        <w:bidi w:val="0"/>
        <w:spacing w:before="1" w:after="283"/>
        <w:jc w:val="center"/>
        <w:rPr/>
      </w:pPr>
      <w:r>
        <w:rPr/>
        <w:t> </w:t>
      </w:r>
    </w:p>
    <w:p>
      <w:pPr>
        <w:pStyle w:val="TextBody"/>
        <w:bidi w:val="0"/>
        <w:spacing w:before="1" w:after="283"/>
        <w:jc w:val="center"/>
        <w:rPr/>
      </w:pPr>
      <w:r>
        <w:rPr/>
        <w:t> </w:t>
      </w:r>
    </w:p>
    <w:p>
      <w:pPr>
        <w:pStyle w:val="TextBody"/>
        <w:bidi w:val="0"/>
        <w:spacing w:before="1" w:after="283"/>
        <w:jc w:val="center"/>
        <w:rPr/>
      </w:pPr>
      <w:r>
        <w:rPr/>
        <w:t> </w:t>
      </w:r>
    </w:p>
    <w:p>
      <w:pPr>
        <w:pStyle w:val="TextBody"/>
        <w:bidi w:val="0"/>
        <w:spacing w:before="1" w:after="283"/>
        <w:jc w:val="center"/>
        <w:rPr/>
      </w:pPr>
      <w:r>
        <w:rPr/>
        <w:t> </w:t>
      </w:r>
    </w:p>
    <w:p>
      <w:pPr>
        <w:pStyle w:val="TextBody"/>
        <w:bidi w:val="0"/>
        <w:spacing w:before="1" w:after="283"/>
        <w:jc w:val="center"/>
        <w:rPr/>
      </w:pPr>
      <w:r>
        <w:rPr/>
        <w:t> </w:t>
      </w:r>
    </w:p>
    <w:p>
      <w:pPr>
        <w:pStyle w:val="TextBody"/>
        <w:bidi w:val="0"/>
        <w:spacing w:before="1" w:after="283"/>
        <w:jc w:val="center"/>
        <w:rPr/>
      </w:pPr>
      <w:r>
        <w:rPr/>
        <w:t> </w:t>
      </w:r>
    </w:p>
    <w:p>
      <w:pPr>
        <w:pStyle w:val="TextBody"/>
        <w:bidi w:val="0"/>
        <w:spacing w:before="1" w:after="283"/>
        <w:jc w:val="center"/>
        <w:rPr>
          <w:rFonts w:ascii="Times New Roman" w:hAnsi="Times New Roman"/>
          <w:sz w:val="20"/>
        </w:rPr>
      </w:pPr>
      <w:r>
        <w:rPr>
          <w:rFonts w:ascii="Arial" w:hAnsi="Arial"/>
          <w:i/>
          <w:color w:val="383838"/>
          <w:sz w:val="20"/>
        </w:rPr>
        <w:t xml:space="preserve">[Signature page </w:t>
      </w:r>
      <w:r>
        <w:rPr>
          <w:rFonts w:ascii="Arial" w:hAnsi="Arial"/>
          <w:color w:val="383838"/>
          <w:sz w:val="20"/>
        </w:rPr>
        <w:t xml:space="preserve">- </w:t>
      </w:r>
      <w:r>
        <w:rPr>
          <w:rFonts w:ascii="Arial" w:hAnsi="Arial"/>
          <w:i/>
          <w:color w:val="383838"/>
          <w:sz w:val="20"/>
        </w:rPr>
        <w:t xml:space="preserve">Tap lssue Addendum </w:t>
      </w:r>
      <w:r>
        <w:rPr>
          <w:rFonts w:ascii="Arial" w:hAnsi="Arial"/>
          <w:color w:val="383838"/>
          <w:sz w:val="20"/>
        </w:rPr>
        <w:t xml:space="preserve">- </w:t>
      </w:r>
      <w:r>
        <w:rPr>
          <w:rFonts w:ascii="Arial" w:hAnsi="Arial"/>
          <w:i/>
          <w:color w:val="383838"/>
          <w:sz w:val="20"/>
        </w:rPr>
        <w:t>Project Epta]</w:t>
      </w:r>
    </w:p>
    <w:p>
      <w:pPr>
        <w:pStyle w:val="TextBody"/>
        <w:bidi w:val="0"/>
        <w:spacing w:before="41"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28518</Words>
  <Characters>152825</Characters>
  <CharactersWithSpaces>182080</CharactersWithSpaces>
  <Paragraphs>7221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