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GREECE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78.4133</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4,785,615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79.5271</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4,786,678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78.938</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4,787,732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$77.67 to $80.00 on August 5, 2026; (2) $79.07 to $79.71 on August 6, 2026; and (3) $78.28 to $79.35 on August 7,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113,301 common units owned through Raymar Investments S.A., an entity affiliated with Ms. Frangou, pursuant to a Rule 10b5-1 trading plan with UBS Financial Services Inc as of August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114,364 common units owned through Raymar Investments S.A., an entity affiliated with Ms. Frangou, pursuant to a Rule 10b5-1 trading plan with UBS Financial Services Inc as of August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115,418 common units owned through Raymar Investments S.A., an entity affiliated with Ms. Frangou, pursuant to a Rule 10b5-1 trading plan with UBS Financial Services Inc as of August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August 7,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5754</Characters>
  <CharactersWithSpaces>6701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