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252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252845"/>
                    </a:xfrm>
                    <a:prstGeom prst="rect">
                      <a:avLst/>
                    </a:prstGeom>
                    <a:noFill/>
                  </pic:spPr>
                </pic:pic>
              </a:graphicData>
            </a:graphic>
          </wp:anchor>
        </w:drawing>
      </w:r>
    </w:p>
    <w:p>
      <w:pPr>
        <w:spacing w:after="0" w:line="1285" w:lineRule="exact"/>
        <w:rPr>
          <w:sz w:val="24"/>
          <w:szCs w:val="24"/>
          <w:color w:val="auto"/>
        </w:rPr>
      </w:pPr>
    </w:p>
    <w:p>
      <w:pPr>
        <w:sectPr>
          <w:pgSz w:w="11900" w:h="16885"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Frangou Angeliki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NAVIOS SHIPMANAGEMENT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85 AKTI MIAOULI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Navios Maritime Partners L.P.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NMM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32" w:lineRule="exact"/>
        <w:rPr>
          <w:sz w:val="24"/>
          <w:szCs w:val="24"/>
          <w:color w:val="auto"/>
        </w:rPr>
      </w:pPr>
    </w:p>
    <w:p>
      <w:pPr>
        <w:sectPr>
          <w:pgSz w:w="11900" w:h="16885" w:orient="portrait"/>
          <w:cols w:equalWidth="0" w:num="3">
            <w:col w:w="3200" w:space="720"/>
            <w:col w:w="3320" w:space="495"/>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PIRAEUS</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J3</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18538</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85"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ind w:right="2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4"/>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Pr>
          <w:p>
            <w:pPr>
              <w:spacing w:after="0"/>
              <w:rPr>
                <w:sz w:val="21"/>
                <w:szCs w:val="21"/>
                <w:color w:val="auto"/>
              </w:rPr>
            </w:pP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06/12/2026</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169"/>
              <w:spacing w:after="0"/>
              <w:rPr>
                <w:sz w:val="20"/>
                <w:szCs w:val="20"/>
                <w:color w:val="auto"/>
              </w:rPr>
            </w:pPr>
            <w:r>
              <w:rPr>
                <w:rFonts w:ascii="Times New Roman" w:cs="Times New Roman" w:eastAsia="Times New Roman" w:hAnsi="Times New Roman"/>
                <w:sz w:val="17"/>
                <w:szCs w:val="17"/>
                <w:color w:val="0000FF"/>
              </w:rPr>
              <w:t>1,135</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A</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74.1903</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4,745,850</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Pr>
          <w:p>
            <w:pPr>
              <w:spacing w:after="0"/>
              <w:rPr>
                <w:sz w:val="21"/>
                <w:szCs w:val="21"/>
                <w:color w:val="auto"/>
              </w:rPr>
            </w:pP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06/15/2026</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169"/>
              <w:spacing w:after="0"/>
              <w:rPr>
                <w:sz w:val="20"/>
                <w:szCs w:val="20"/>
                <w:color w:val="auto"/>
              </w:rPr>
            </w:pPr>
            <w:r>
              <w:rPr>
                <w:rFonts w:ascii="Times New Roman" w:cs="Times New Roman" w:eastAsia="Times New Roman" w:hAnsi="Times New Roman"/>
                <w:sz w:val="17"/>
                <w:szCs w:val="17"/>
                <w:color w:val="0000FF"/>
              </w:rPr>
              <w:t>1,106</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A</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74.7285</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4,746,956</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Pr>
          <w:p>
            <w:pPr>
              <w:spacing w:after="0"/>
              <w:rPr>
                <w:sz w:val="21"/>
                <w:szCs w:val="21"/>
                <w:color w:val="auto"/>
              </w:rPr>
            </w:pP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06/16/2026</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189"/>
              <w:spacing w:after="0"/>
              <w:rPr>
                <w:sz w:val="20"/>
                <w:szCs w:val="20"/>
                <w:color w:val="auto"/>
              </w:rPr>
            </w:pPr>
            <w:r>
              <w:rPr>
                <w:rFonts w:ascii="Times New Roman" w:cs="Times New Roman" w:eastAsia="Times New Roman" w:hAnsi="Times New Roman"/>
                <w:sz w:val="17"/>
                <w:szCs w:val="17"/>
                <w:color w:val="0000FF"/>
              </w:rPr>
              <w:t>1,119</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A</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73.6321</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4,748,075</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1160" w:type="dxa"/>
            <w:vAlign w:val="bottom"/>
            <w:tcBorders>
              <w:top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366,776</w:t>
            </w:r>
          </w:p>
        </w:tc>
        <w:tc>
          <w:tcPr>
            <w:tcW w:w="34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General Partnership Unit</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622,296</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herein were made pursuant to a Rule 10b5-1 trading plan between Raymar Investments S.A., an entity affiliated with Ms. Frangou, and UBS Financial Services Inc. adopted on December 9, 2025.</w:t>
      </w:r>
    </w:p>
    <w:p>
      <w:pPr>
        <w:spacing w:after="0" w:line="7" w:lineRule="exact"/>
        <w:rPr>
          <w:rFonts w:ascii="Times New Roman" w:cs="Times New Roman" w:eastAsia="Times New Roman" w:hAnsi="Times New Roman"/>
          <w:sz w:val="13"/>
          <w:szCs w:val="13"/>
          <w:color w:val="008000"/>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herein were effected in multiple transactions each day at prices ranging from (1) $73.72 to $74.52 on June 12, 2026; (2) $73.62 to $76.14 on June 15, 2026; and (3) $72.94 to $74.17 on June 16, 2026. The prices reported above reflect the weighted average purchase prices on each such day for the transactions reported herein. The Reporting Person hereby undertakes to provide upon request to the Staff of the Securities and Exchange Commission, the issuer, or any security holder of the issuer full information regarding the number of shares and the prices at which these reported transactions were effected each day.</w:t>
      </w:r>
    </w:p>
    <w:p>
      <w:pPr>
        <w:spacing w:after="0" w:line="24"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73,536 common units owned through Raymar Investments S.A., an entity affiliated with Ms. Frangou, pursuant to a Rule 10b5-1 trading plan with UBS Financial Services Inc as of June 12, 2026.</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74,642 common units owned through Raymar Investments S.A., an entity affiliated with Ms. Frangou, pursuant to a Rule 10b5-1 trading plan with UBS Financial Services Inc as of June 15, 2026.</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75,761 common units owned through Raymar Investments S.A., an entity affiliated with Ms. Frangou, pursuant to a Rule 10b5-1 trading plan with UBS Financial Services Inc as of June 16, 2026.</w:t>
      </w:r>
    </w:p>
    <w:p>
      <w:pPr>
        <w:spacing w:after="0" w:line="2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Olympos Maritime Ltd., an entity affiliated with Ms. Frangou, is the general partner (the "General Partner") of Navios Maritime Partners L.P. ("NMM"). As of June 16, 2026, the General Partner owns 622,296 general partnership units, representing an approximately 2.1% ownership interest in NMM based on all outstanding common units and general partnership units.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Executive Officer &amp; Chairwoman of the Board</w:t>
      </w:r>
    </w:p>
    <w:p>
      <w:pPr>
        <w:sectPr>
          <w:pgSz w:w="11900" w:h="16885" w:orient="portrait"/>
          <w:cols w:equalWidth="0" w:num="1">
            <w:col w:w="11080"/>
          </w:cols>
          <w:pgMar w:left="460" w:top="219" w:right="359" w:bottom="0" w:gutter="0" w:footer="0" w:header="0"/>
          <w:type w:val="continuous"/>
        </w:sectPr>
      </w:pP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Todd Mason, by POA from 06/16/2026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ectPr>
          <w:pgSz w:w="11900" w:h="16885" w:orient="portrait"/>
          <w:cols w:equalWidth="0" w:num="1">
            <w:col w:w="11080"/>
          </w:cols>
          <w:pgMar w:left="460" w:top="219" w:right="359" w:bottom="0" w:gutter="0" w:footer="0" w:header="0"/>
          <w:type w:val="continuous"/>
        </w:sectPr>
      </w:pPr>
    </w:p>
    <w:bookmarkStart w:id="1" w:name="page2"/>
    <w:bookmarkEnd w:id="1"/>
    <w:p>
      <w:pPr>
        <w:ind w:left="6540"/>
        <w:spacing w:after="0"/>
        <w:rPr>
          <w:sz w:val="20"/>
          <w:szCs w:val="20"/>
          <w:color w:val="auto"/>
        </w:rPr>
      </w:pPr>
      <w:r>
        <w:rPr>
          <w:rFonts w:ascii="Times New Roman" w:cs="Times New Roman" w:eastAsia="Times New Roman" w:hAnsi="Times New Roman"/>
          <w:sz w:val="17"/>
          <w:szCs w:val="17"/>
          <w:color w:val="0000FF"/>
        </w:rPr>
        <w:t>Angeliki Frangou,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8064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064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Chairwoman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28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728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Executive Officer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07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63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310495" TargetMode="External"/><Relationship Id="rId14" Type="http://schemas.openxmlformats.org/officeDocument/2006/relationships/hyperlink" Target="http://www.sec.gov/cgi-bin/browse-edgar?action=getcompany&amp;CIK=00014159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2026-06-16T20:11:50Z</dcterms:created>
  <dcterms:modified xsi:type="dcterms:W3CDTF">2026-06-16T20:11:50Z</dcterms:modified>
</cp:coreProperties>
</file>