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70092d6k.htm"/>
      <w:bookmarkStart w:id="1" w:name="ksd170092d6k"/>
      <w:bookmarkEnd w:id="0"/>
      <w:bookmarkEnd w:id="1"/>
      <w:r>
        <w:rPr>
          <w:bdr w:val="single" w:sz="2" w:space="1" w:color="000000"/>
        </w:rPr>
        <w:t> 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6-K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REPORT OF FOREIGN PRIVATE ISSUER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PURSUANT TO RULE 13A-16 OR 15D-16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DATED: October 5, 2026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No. 001-33811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NAVIOS MARITIME PARTNERS L.P.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c/o Navios Shipmanagement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85 Akti Miaouli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Piraeus 18538, Greece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 of Principal Executive Offices)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Indicate by check mark whether the registrant files or will file annual reports under cover of Form 20-F or Form 40-F. </w:t>
      </w:r>
    </w:p>
    <w:p>
      <w:pPr>
        <w:pStyle w:val="TextBody"/>
        <w:bidi w:val="0"/>
        <w:spacing w:before="36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Form 20-F ☒   Form 40-F ☐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NAVIOS MARITIME PARTNERS L.P.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FORM 6-K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Navios Maritime Partners L.P. has set the date of its 2026 annual meeting of limited partners for Friday, December 18, 2026. </w:t>
      </w:r>
    </w:p>
    <w:p>
      <w:pPr>
        <w:pStyle w:val="TextBody"/>
        <w:bidi w:val="0"/>
        <w:spacing w:before="36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SIGNATURES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"/>
        <w:gridCol w:w="60"/>
        <w:gridCol w:w="3656"/>
      </w:tblGrid>
      <w:tr>
        <w:trPr/>
        <w:tc>
          <w:tcPr>
            <w:tcW w:w="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NAVIOS MARITIME PARTNERS L.P.</w:t>
            </w:r>
          </w:p>
        </w:tc>
      </w:tr>
      <w:tr>
        <w:trPr>
          <w:trHeight w:val="240" w:hRule="atLeast"/>
        </w:trPr>
        <w:tc>
          <w:tcPr>
            <w:tcW w:w="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6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Vasiliki Papaefthymiou</w:t>
            </w:r>
          </w:p>
        </w:tc>
      </w:tr>
      <w:tr>
        <w:trPr/>
        <w:tc>
          <w:tcPr>
            <w:tcW w:w="36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6" w:type="dxa"/>
            <w:tcBorders/>
            <w:vAlign w:val="bottom"/>
          </w:tcPr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Vasiliki Papaefthymiou</w:t>
            </w:r>
          </w:p>
        </w:tc>
      </w:tr>
      <w:tr>
        <w:trPr/>
        <w:tc>
          <w:tcPr>
            <w:tcW w:w="36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6" w:type="dxa"/>
            <w:tcBorders/>
            <w:vAlign w:val="bottom"/>
          </w:tcPr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Secretary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Date: October 5, 2026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156</Words>
  <Characters>844</Characters>
  <CharactersWithSpaces>1017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6-K</dc:title>
</cp:coreProperties>
</file>