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DATED: August 3, 2020</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Monte Carlo, MC 98000 Monaco</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2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ind w:left="478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ind w:left="47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7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26" w:right="9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NAVIOS MARITIME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00" w:type="dxa"/>
            <w:vAlign w:val="bottom"/>
            <w:vMerge w:val="restart"/>
          </w:tcPr>
          <w:p>
            <w:pPr>
              <w:spacing w:after="0"/>
              <w:rPr>
                <w:sz w:val="20"/>
                <w:szCs w:val="20"/>
                <w:color w:val="auto"/>
              </w:rPr>
            </w:pPr>
            <w:r>
              <w:rPr>
                <w:rFonts w:ascii="Arial" w:cs="Arial" w:eastAsia="Arial" w:hAnsi="Arial"/>
                <w:sz w:val="18"/>
                <w:szCs w:val="18"/>
                <w:color w:val="auto"/>
              </w:rPr>
              <w:t>Operating and Financial Review and Prospects</w:t>
            </w: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700" w:type="dxa"/>
            <w:vAlign w:val="bottom"/>
            <w:vMerge w:val="continue"/>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700" w:type="dxa"/>
            <w:vAlign w:val="bottom"/>
          </w:tcPr>
          <w:p>
            <w:pPr>
              <w:spacing w:after="0"/>
              <w:rPr>
                <w:sz w:val="20"/>
                <w:szCs w:val="20"/>
                <w:color w:val="auto"/>
              </w:rPr>
            </w:pPr>
            <w:r>
              <w:rPr>
                <w:rFonts w:ascii="Arial" w:cs="Arial" w:eastAsia="Arial" w:hAnsi="Arial"/>
                <w:sz w:val="18"/>
                <w:szCs w:val="18"/>
                <w:color w:val="auto"/>
              </w:rPr>
              <w:t>Financial Statements Index</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Report on Form 6-K is hereby incorporated by reference into the Navios Maritime Partners L.P. Registration Statement on Form F-3, File No. 333-237934.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is a discussion of the financial condition and results of operations for the three and six month periods ended June 30, 2020 and 2019 of Navios Maritime Partners L.P. (referred to herein as “we”, “us”, “Company” or “Navios Partners”). All of the financial statements have been stated in accordance with generally accepted accounting principles in the United States of America (“U.S. GAAP”). You should read this section together with the consolidated financial statements and the accompanying notes included in Navios Partners’ 2019 Annual Report filed on Form 20-F with the U.S. Securities and Exchange Commission (the “SEC”) on April 1, 2020.</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Report contains forward-looking statements (as defined in Section 27A of the Securities Act of 1933, as amended, and Section 21E of the Securities Exchange Act of 1934, as amended) concerning future events including Navios Partners’ 2020 cash flow generation, future contracted revenues, future distributions and its ability to have any distributions going forward, opportunities to reinvest cash accretively in a fleet renewal program or otherwise, potential capital gains, our ability to take advantage of dislocation in the market and Navios Partners’ growth strategy and measures to implement such strategy; including expected vessel acquisitions and entering into further time charters. Words such as “may,” “expects,” “intends,” “plans,” “believes,” “anticipates,” “hopes,” “estimates,” and variations of such words and similar expressions are intended to identify forward-looking statements. Such statements include comments regarding expected revenue and time charters. These forward-looking statements are based on the information available to, and the expectations and assumptions deemed reasonable by Navios Partners at the time these statements were made. Although Navios Partners believes that the expectations reflected in such forward-looking statements are reasonable, no assurance can be given that such expectations will prove to have been correct. These statements involve risks and are based upon a number of assumptions and estimates that are inherently subject to significant uncertainties and contingencies, many of which are beyond the control of Navios Partners. Actual results may differ materially from those expressed or implied by such forward-looking statements. Factors that could cause actual results to differ materially include, but are not limited to, global and regional economic and political conditions including the impact of the COVID-19 pandemic and efforts throughout the world to contain its spread, including effects on global economic activity, demand for seaborne transportation of the products we ship, the ability and willingness of charterers to fulfill their obligations to us and prevailing charter rates, shipyards performing scrubber installations, drydocking and repairs, changing vessel crews and availability of financing, potential disruption of shipping routes due to accidents, diseases, pandemics, political events, piracy or acts by terrorists, including the impact of the COVID-19 pandemic and the ongoing efforts throughout the world to contain it, the creditworthiness of our charterers and the ability of our contract counterparties to fulfill their obligations to us, tanker industry trends, including charter rates and vessel values and factors affecting vessel supply and demand, the aging of our vessels and resultant increases in operation and dry docking costs, the loss of any customer or charter or vessel, our ability to repay outstanding indebtedness, to obtain additional financing and to obtain replacement charters for our vessels, in each case, at commercially acceptable rates or at all, increases in costs and expenses, including but not limited to: crew wages, insurance, provisions, port expenses, lube oil, bunkers, repairs, maintenance and general and administrative expenses, the expected cost of, and our ability to comply with, governmental regulations and maritime self-regulatory organization standards, as well as standard regulations imposed by our charterers applicable to our business, potential liability from litigation and our vessel operations, including discharge of pollutants, general domestic and international political conditions, competitive factors in the market in which Navios Partners operates; risks associated with operations outside the United States; and other factors listed from time to time in Navios Partners’ filings with the U.S. Securities and Exchange Commission, including its reports on Form 20-F and reports on Form 6-K. Navios Partners expressly disclaims any obligations or undertaking to release publicly any updates or revisions to any forward-looking statements contained herein to reflect any change in Navios Partners’ expectations with respect thereto or any change in events, conditions or circumstances on which any statement is based. Navios Partners makes no prediction or statement about the performance of its common units.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of Navios Europe II Inc.</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29, 2020, the liquidation of Navios Europe II was completed and Navios Partners purchased two Ultra-Handymax and three Panamax dry bulk vessels with a fair value of $56.1 million from Navios Europe II. The purchase was funded through a new financing agreement and cash on hand for total of $36.1 million and the assumption of working capital liability of $2.7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2020, Navios Partners entered into a new credit facility with a commercial bank in the amount of $29.5 million in order to finance the purchase of five drybulk vessels that were acquired upon the liquidation of Navios Europe II. The credit facility has an amortization profile of 6.2 years, matures in June 2021 and bears interest at LIBOR plus 400 bps per annum up to December 2020 and 425 bps per annum subsequently.</w:t>
      </w:r>
    </w:p>
    <w:p>
      <w:pPr>
        <w:jc w:val="both"/>
        <w:spacing w:after="0" w:line="323" w:lineRule="auto"/>
        <w:rPr>
          <w:sz w:val="20"/>
          <w:szCs w:val="20"/>
          <w:color w:val="auto"/>
        </w:rPr>
      </w:pPr>
      <w:r>
        <w:rPr>
          <w:rFonts w:ascii="Arial" w:cs="Arial" w:eastAsia="Arial" w:hAnsi="Arial"/>
          <w:sz w:val="16"/>
          <w:szCs w:val="16"/>
          <w:color w:val="auto"/>
        </w:rPr>
        <w:t>In June 2020, Navios Partners entered into a new credit facility with a commercial bank in the amount of $17.0 million for the refinancing of four containerships. The credit facility has an amortization profile of 8.0 years, matures in December 2023 and bears interest at LIBOR plus 350 bps per annum.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2020, the Board of Directors of Navios Partners declared a cash distribution for the second quarter of 2020 of $0.05 per unit. The cash distribution is payable on August 13, 2020 to all unitholders of common units and general partner units of record as of August 10, 2020. The declaration and payment of any further dividends remain subject to the discretion of the Board of Directors and will depend on, among other things, Navios Partners’ cash</w:t>
      </w:r>
    </w:p>
    <w:p>
      <w:pPr>
        <w:sectPr>
          <w:pgSz w:w="11900" w:h="16838" w:orient="portrait"/>
          <w:cols w:equalWidth="0" w:num="1">
            <w:col w:w="11240"/>
          </w:cols>
          <w:pgMar w:left="320" w:top="715" w:right="339" w:bottom="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requirements as measured by market opportunities and restrictions under its credit agreements and other debt obligations and such other factors as the Board of Directors may deem advisable.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Navios Partners is an international owner and operator of dry cargo vessels, formed on August 7, 2007 under the laws of the Republic of the Marshall Islands by Navios Maritime Holdings Inc. (“Navios Holdings”), a global seaborne shipping and logistics company. Navios GP L.L.C., a wholly owned subsidiary of Navios Holdings, was also formed on that date to act as the general partner of Navios Partners. Currently, our general partner is Olympos Maritime Ltd. (the “General Partner”) and holds a 2.1% general partner interest in Navios Partners.</w:t>
      </w:r>
    </w:p>
    <w:p>
      <w:pPr>
        <w:spacing w:after="0" w:line="2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July 28, 2020, there were 10,987,679 outstanding common units and 230,524 general partnership units. Navios Holdings currently owns an approximately 18.8% common unit interest in Navios Partners and the General Partner currently owns a 2.1% general partner interest in Navios Partners.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Navios Partners’ fleet consists of 23 Panamax vessels, 14 Capesize vessels, six Ultra-Handymax vessels and ten Containerships, including two Panamax bareboat charter-in vessels, that are expected to be delivered by the first half of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revenues by charging our customers for the use of our vessels to transport their dry cargos. In general, the vessels in our fleet are chartered-out under time charters, which range in length up to twelve years at inception. From time to time, we operate vessels in the spot market until the vessels have been chartered under longer-term charters.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information about our fleet as of July 30,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740" w:type="dxa"/>
            <w:vAlign w:val="bottom"/>
            <w:vMerge w:val="restart"/>
          </w:tcPr>
          <w:p>
            <w:pPr>
              <w:jc w:val="center"/>
              <w:ind w:left="760"/>
              <w:spacing w:after="0"/>
              <w:rPr>
                <w:sz w:val="20"/>
                <w:szCs w:val="20"/>
                <w:color w:val="auto"/>
              </w:rPr>
            </w:pPr>
            <w:r>
              <w:rPr>
                <w:rFonts w:ascii="Arial" w:cs="Arial" w:eastAsia="Arial" w:hAnsi="Arial"/>
                <w:sz w:val="13"/>
                <w:szCs w:val="13"/>
                <w:b w:val="1"/>
                <w:bCs w:val="1"/>
                <w:color w:val="auto"/>
                <w:w w:val="85"/>
              </w:rPr>
              <w:t>Type</w:t>
            </w:r>
          </w:p>
        </w:tc>
        <w:tc>
          <w:tcPr>
            <w:tcW w:w="520" w:type="dxa"/>
            <w:vAlign w:val="bottom"/>
          </w:tcPr>
          <w:p>
            <w:pPr>
              <w:spacing w:after="0"/>
              <w:rPr>
                <w:sz w:val="13"/>
                <w:szCs w:val="13"/>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b w:val="1"/>
                <w:bCs w:val="1"/>
                <w:color w:val="auto"/>
              </w:rPr>
              <w:t>Capacity</w:t>
            </w:r>
          </w:p>
        </w:tc>
        <w:tc>
          <w:tcPr>
            <w:tcW w:w="980" w:type="dxa"/>
            <w:vAlign w:val="bottom"/>
          </w:tcPr>
          <w:p>
            <w:pPr>
              <w:ind w:left="120"/>
              <w:spacing w:after="0"/>
              <w:rPr>
                <w:sz w:val="20"/>
                <w:szCs w:val="20"/>
                <w:color w:val="auto"/>
              </w:rPr>
            </w:pPr>
            <w:r>
              <w:rPr>
                <w:rFonts w:ascii="Arial" w:cs="Arial" w:eastAsia="Arial" w:hAnsi="Arial"/>
                <w:sz w:val="13"/>
                <w:szCs w:val="13"/>
                <w:b w:val="1"/>
                <w:bCs w:val="1"/>
                <w:color w:val="auto"/>
              </w:rPr>
              <w:t>Charter-Out</w:t>
            </w:r>
          </w:p>
        </w:tc>
        <w:tc>
          <w:tcPr>
            <w:tcW w:w="224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Index</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Owned Drybulk Vessels</w:t>
            </w:r>
          </w:p>
        </w:tc>
        <w:tc>
          <w:tcPr>
            <w:tcW w:w="27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Built</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(DWT)</w:t>
            </w: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Rate</w:t>
            </w:r>
          </w:p>
        </w:tc>
        <w:tc>
          <w:tcPr>
            <w:tcW w:w="224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Expiration Date</w:t>
            </w: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Soleil</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93"/>
              </w:rPr>
              <w:t>Ultra-Handymax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2009</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57,337</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$ 7,600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November 2020</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Navios La Paix</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93"/>
              </w:rPr>
              <w:t>Ultra-Handymax</w:t>
            </w:r>
          </w:p>
        </w:tc>
        <w:tc>
          <w:tcPr>
            <w:tcW w:w="520" w:type="dxa"/>
            <w:vAlign w:val="bottom"/>
          </w:tcPr>
          <w:p>
            <w:pPr>
              <w:ind w:left="100"/>
              <w:spacing w:after="0"/>
              <w:rPr>
                <w:sz w:val="20"/>
                <w:szCs w:val="20"/>
                <w:color w:val="auto"/>
              </w:rPr>
            </w:pPr>
            <w:r>
              <w:rPr>
                <w:rFonts w:ascii="Arial" w:cs="Arial" w:eastAsia="Arial" w:hAnsi="Arial"/>
                <w:sz w:val="16"/>
                <w:szCs w:val="16"/>
                <w:color w:val="auto"/>
              </w:rPr>
              <w:t>2014</w:t>
            </w:r>
          </w:p>
        </w:tc>
        <w:tc>
          <w:tcPr>
            <w:tcW w:w="720" w:type="dxa"/>
            <w:vAlign w:val="bottom"/>
          </w:tcPr>
          <w:p>
            <w:pPr>
              <w:ind w:left="140"/>
              <w:spacing w:after="0"/>
              <w:rPr>
                <w:sz w:val="20"/>
                <w:szCs w:val="20"/>
                <w:color w:val="auto"/>
              </w:rPr>
            </w:pPr>
            <w:r>
              <w:rPr>
                <w:rFonts w:ascii="Arial" w:cs="Arial" w:eastAsia="Arial" w:hAnsi="Arial"/>
                <w:sz w:val="16"/>
                <w:szCs w:val="16"/>
                <w:color w:val="auto"/>
              </w:rPr>
              <w:t>61,485</w:t>
            </w: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39"/>
              <w:spacing w:after="0"/>
              <w:rPr>
                <w:sz w:val="20"/>
                <w:szCs w:val="20"/>
                <w:color w:val="auto"/>
              </w:rPr>
            </w:pPr>
            <w:r>
              <w:rPr>
                <w:rFonts w:ascii="Arial" w:cs="Arial" w:eastAsia="Arial" w:hAnsi="Arial"/>
                <w:sz w:val="16"/>
                <w:szCs w:val="16"/>
                <w:color w:val="auto"/>
                <w:w w:val="90"/>
              </w:rPr>
              <w:t>111% average BSI 58 10TC</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November 2020</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Christine B</w:t>
            </w:r>
          </w:p>
        </w:tc>
        <w:tc>
          <w:tcPr>
            <w:tcW w:w="2740" w:type="dxa"/>
            <w:vAlign w:val="bottom"/>
            <w:shd w:val="clear" w:color="auto" w:fill="CCEEFF"/>
          </w:tcPr>
          <w:p>
            <w:pPr>
              <w:jc w:val="center"/>
              <w:ind w:left="800"/>
              <w:spacing w:after="0"/>
              <w:rPr>
                <w:sz w:val="20"/>
                <w:szCs w:val="20"/>
                <w:color w:val="auto"/>
              </w:rPr>
            </w:pPr>
            <w:r>
              <w:rPr>
                <w:rFonts w:ascii="Arial" w:cs="Arial" w:eastAsia="Arial" w:hAnsi="Arial"/>
                <w:sz w:val="16"/>
                <w:szCs w:val="16"/>
                <w:color w:val="auto"/>
                <w:w w:val="95"/>
              </w:rPr>
              <w:t>Ultra-Handymax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2009</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58,058</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100% average BSI 58 10TC</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Navios Amaryllis</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93"/>
              </w:rPr>
              <w:t>Ultra-Handymax</w:t>
            </w:r>
          </w:p>
        </w:tc>
        <w:tc>
          <w:tcPr>
            <w:tcW w:w="520" w:type="dxa"/>
            <w:vAlign w:val="bottom"/>
          </w:tcPr>
          <w:p>
            <w:pPr>
              <w:ind w:left="100"/>
              <w:spacing w:after="0"/>
              <w:rPr>
                <w:sz w:val="20"/>
                <w:szCs w:val="20"/>
                <w:color w:val="auto"/>
              </w:rPr>
            </w:pPr>
            <w:r>
              <w:rPr>
                <w:rFonts w:ascii="Arial" w:cs="Arial" w:eastAsia="Arial" w:hAnsi="Arial"/>
                <w:sz w:val="16"/>
                <w:szCs w:val="16"/>
                <w:color w:val="auto"/>
              </w:rPr>
              <w:t>2009</w:t>
            </w:r>
          </w:p>
        </w:tc>
        <w:tc>
          <w:tcPr>
            <w:tcW w:w="720" w:type="dxa"/>
            <w:vAlign w:val="bottom"/>
          </w:tcPr>
          <w:p>
            <w:pPr>
              <w:ind w:left="140"/>
              <w:spacing w:after="0"/>
              <w:rPr>
                <w:sz w:val="20"/>
                <w:szCs w:val="20"/>
                <w:color w:val="auto"/>
              </w:rPr>
            </w:pPr>
            <w:r>
              <w:rPr>
                <w:rFonts w:ascii="Arial" w:cs="Arial" w:eastAsia="Arial" w:hAnsi="Arial"/>
                <w:sz w:val="16"/>
                <w:szCs w:val="16"/>
                <w:color w:val="auto"/>
              </w:rPr>
              <w:t>58,735</w:t>
            </w:r>
          </w:p>
        </w:tc>
        <w:tc>
          <w:tcPr>
            <w:tcW w:w="980" w:type="dxa"/>
            <w:vAlign w:val="bottom"/>
          </w:tcPr>
          <w:p>
            <w:pPr>
              <w:ind w:left="60"/>
              <w:spacing w:after="0"/>
              <w:rPr>
                <w:sz w:val="20"/>
                <w:szCs w:val="20"/>
                <w:color w:val="auto"/>
              </w:rPr>
            </w:pPr>
            <w:r>
              <w:rPr>
                <w:rFonts w:ascii="Arial" w:cs="Arial" w:eastAsia="Arial" w:hAnsi="Arial"/>
                <w:sz w:val="16"/>
                <w:szCs w:val="16"/>
                <w:color w:val="auto"/>
              </w:rPr>
              <w:t>$ 8,835</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August 2021</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Serenitas N</w:t>
            </w:r>
          </w:p>
        </w:tc>
        <w:tc>
          <w:tcPr>
            <w:tcW w:w="2740" w:type="dxa"/>
            <w:vAlign w:val="bottom"/>
            <w:shd w:val="clear" w:color="auto" w:fill="CCEEFF"/>
          </w:tcPr>
          <w:p>
            <w:pPr>
              <w:jc w:val="center"/>
              <w:ind w:left="800"/>
              <w:spacing w:after="0"/>
              <w:rPr>
                <w:sz w:val="20"/>
                <w:szCs w:val="20"/>
                <w:color w:val="auto"/>
              </w:rPr>
            </w:pPr>
            <w:r>
              <w:rPr>
                <w:rFonts w:ascii="Arial" w:cs="Arial" w:eastAsia="Arial" w:hAnsi="Arial"/>
                <w:sz w:val="16"/>
                <w:szCs w:val="16"/>
                <w:color w:val="auto"/>
                <w:w w:val="95"/>
              </w:rPr>
              <w:t>Ultra-Handymax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2011</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56,644</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82% average BSI 58 10TC</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Joie N</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93"/>
              </w:rPr>
              <w:t>Ultra-Handymax</w:t>
            </w:r>
          </w:p>
        </w:tc>
        <w:tc>
          <w:tcPr>
            <w:tcW w:w="520" w:type="dxa"/>
            <w:vAlign w:val="bottom"/>
          </w:tcPr>
          <w:p>
            <w:pPr>
              <w:ind w:left="100"/>
              <w:spacing w:after="0"/>
              <w:rPr>
                <w:sz w:val="20"/>
                <w:szCs w:val="20"/>
                <w:color w:val="auto"/>
              </w:rPr>
            </w:pPr>
            <w:r>
              <w:rPr>
                <w:rFonts w:ascii="Arial" w:cs="Arial" w:eastAsia="Arial" w:hAnsi="Arial"/>
                <w:sz w:val="16"/>
                <w:szCs w:val="16"/>
                <w:color w:val="auto"/>
              </w:rPr>
              <w:t>2011</w:t>
            </w:r>
          </w:p>
        </w:tc>
        <w:tc>
          <w:tcPr>
            <w:tcW w:w="720" w:type="dxa"/>
            <w:vAlign w:val="bottom"/>
          </w:tcPr>
          <w:p>
            <w:pPr>
              <w:ind w:left="140"/>
              <w:spacing w:after="0"/>
              <w:rPr>
                <w:sz w:val="20"/>
                <w:szCs w:val="20"/>
                <w:color w:val="auto"/>
              </w:rPr>
            </w:pPr>
            <w:r>
              <w:rPr>
                <w:rFonts w:ascii="Arial" w:cs="Arial" w:eastAsia="Arial" w:hAnsi="Arial"/>
                <w:sz w:val="16"/>
                <w:szCs w:val="16"/>
                <w:color w:val="auto"/>
              </w:rPr>
              <w:t>56,557</w:t>
            </w:r>
          </w:p>
        </w:tc>
        <w:tc>
          <w:tcPr>
            <w:tcW w:w="980" w:type="dxa"/>
            <w:vAlign w:val="bottom"/>
          </w:tcPr>
          <w:p>
            <w:pPr>
              <w:ind w:left="60"/>
              <w:spacing w:after="0"/>
              <w:rPr>
                <w:sz w:val="20"/>
                <w:szCs w:val="20"/>
                <w:color w:val="auto"/>
              </w:rPr>
            </w:pPr>
            <w:r>
              <w:rPr>
                <w:rFonts w:ascii="Arial" w:cs="Arial" w:eastAsia="Arial" w:hAnsi="Arial"/>
                <w:sz w:val="16"/>
                <w:szCs w:val="16"/>
                <w:color w:val="auto"/>
              </w:rPr>
              <w:t>$ 8,455</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Hyperion</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2004</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75,707</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$ 10,780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September 2020</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$ 9,625</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100% average BPI 4TC</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August 2021</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Navios Alegria</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2004</w:t>
            </w:r>
          </w:p>
        </w:tc>
        <w:tc>
          <w:tcPr>
            <w:tcW w:w="720" w:type="dxa"/>
            <w:vAlign w:val="bottom"/>
          </w:tcPr>
          <w:p>
            <w:pPr>
              <w:ind w:left="140"/>
              <w:spacing w:after="0"/>
              <w:rPr>
                <w:sz w:val="20"/>
                <w:szCs w:val="20"/>
                <w:color w:val="auto"/>
              </w:rPr>
            </w:pPr>
            <w:r>
              <w:rPr>
                <w:rFonts w:ascii="Arial" w:cs="Arial" w:eastAsia="Arial" w:hAnsi="Arial"/>
                <w:sz w:val="16"/>
                <w:szCs w:val="16"/>
                <w:color w:val="auto"/>
              </w:rPr>
              <w:t>76,466</w:t>
            </w: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w w:val="91"/>
              </w:rPr>
              <w:t>99.5% average BPI 4TC</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March 2022</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Orbiter</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2004</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76,602</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$ 10,106</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w w:val="91"/>
              </w:rPr>
              <w:t>100% average BPI 4TC</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Helios</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2005</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77,075</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$ 9,914</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w w:val="91"/>
              </w:rPr>
              <w:t>100% average BPI 4TC</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September 2021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Sun</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2005</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76,619</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$ 9,818</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w w:val="91"/>
              </w:rPr>
              <w:t>100% average BPI 4TC</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Hope</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2005</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75,397</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$ 10,010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$ 9,625</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100% average BPI 4TC</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January 2022</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40"/>
              <w:spacing w:after="0"/>
              <w:rPr>
                <w:sz w:val="20"/>
                <w:szCs w:val="20"/>
                <w:color w:val="auto"/>
              </w:rPr>
            </w:pPr>
            <w:r>
              <w:rPr>
                <w:rFonts w:ascii="Arial" w:cs="Arial" w:eastAsia="Arial" w:hAnsi="Arial"/>
                <w:sz w:val="16"/>
                <w:szCs w:val="16"/>
                <w:color w:val="auto"/>
              </w:rPr>
              <w:t>Navios Sagittarius</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2006</w:t>
            </w:r>
          </w:p>
        </w:tc>
        <w:tc>
          <w:tcPr>
            <w:tcW w:w="720" w:type="dxa"/>
            <w:vAlign w:val="bottom"/>
          </w:tcPr>
          <w:p>
            <w:pPr>
              <w:ind w:left="140"/>
              <w:spacing w:after="0"/>
              <w:rPr>
                <w:sz w:val="20"/>
                <w:szCs w:val="20"/>
                <w:color w:val="auto"/>
              </w:rPr>
            </w:pPr>
            <w:r>
              <w:rPr>
                <w:rFonts w:ascii="Arial" w:cs="Arial" w:eastAsia="Arial" w:hAnsi="Arial"/>
                <w:sz w:val="16"/>
                <w:szCs w:val="16"/>
                <w:color w:val="auto"/>
              </w:rPr>
              <w:t>75,756</w:t>
            </w:r>
          </w:p>
        </w:tc>
        <w:tc>
          <w:tcPr>
            <w:tcW w:w="980" w:type="dxa"/>
            <w:vAlign w:val="bottom"/>
          </w:tcPr>
          <w:p>
            <w:pPr>
              <w:ind w:left="60"/>
              <w:spacing w:after="0"/>
              <w:rPr>
                <w:sz w:val="20"/>
                <w:szCs w:val="20"/>
                <w:color w:val="auto"/>
              </w:rPr>
            </w:pPr>
            <w:r>
              <w:rPr>
                <w:rFonts w:ascii="Arial" w:cs="Arial" w:eastAsia="Arial" w:hAnsi="Arial"/>
                <w:sz w:val="16"/>
                <w:szCs w:val="16"/>
                <w:color w:val="auto"/>
              </w:rPr>
              <w:t>$ 9,500</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Harmony</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2006</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82,790</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$ 8,740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April 2021</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Navios Prosperity I</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2007</w:t>
            </w:r>
          </w:p>
        </w:tc>
        <w:tc>
          <w:tcPr>
            <w:tcW w:w="720" w:type="dxa"/>
            <w:vAlign w:val="bottom"/>
          </w:tcPr>
          <w:p>
            <w:pPr>
              <w:ind w:left="140"/>
              <w:spacing w:after="0"/>
              <w:rPr>
                <w:sz w:val="20"/>
                <w:szCs w:val="20"/>
                <w:color w:val="auto"/>
              </w:rPr>
            </w:pPr>
            <w:r>
              <w:rPr>
                <w:rFonts w:ascii="Arial" w:cs="Arial" w:eastAsia="Arial" w:hAnsi="Arial"/>
                <w:sz w:val="16"/>
                <w:szCs w:val="16"/>
                <w:color w:val="auto"/>
              </w:rPr>
              <w:t>75,527</w:t>
            </w:r>
          </w:p>
        </w:tc>
        <w:tc>
          <w:tcPr>
            <w:tcW w:w="980" w:type="dxa"/>
            <w:vAlign w:val="bottom"/>
          </w:tcPr>
          <w:p>
            <w:pPr>
              <w:ind w:left="60"/>
              <w:spacing w:after="0"/>
              <w:rPr>
                <w:sz w:val="20"/>
                <w:szCs w:val="20"/>
                <w:color w:val="auto"/>
              </w:rPr>
            </w:pPr>
            <w:r>
              <w:rPr>
                <w:rFonts w:ascii="Arial" w:cs="Arial" w:eastAsia="Arial" w:hAnsi="Arial"/>
                <w:sz w:val="16"/>
                <w:szCs w:val="16"/>
                <w:color w:val="auto"/>
              </w:rPr>
              <w:t>$ 9,500</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Libertas</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75,511</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$ 8,550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February 2021</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Navios Altair I</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2006</w:t>
            </w:r>
          </w:p>
        </w:tc>
        <w:tc>
          <w:tcPr>
            <w:tcW w:w="720" w:type="dxa"/>
            <w:vAlign w:val="bottom"/>
          </w:tcPr>
          <w:p>
            <w:pPr>
              <w:jc w:val="right"/>
              <w:spacing w:after="0"/>
              <w:rPr>
                <w:sz w:val="20"/>
                <w:szCs w:val="20"/>
                <w:color w:val="auto"/>
              </w:rPr>
            </w:pPr>
            <w:r>
              <w:rPr>
                <w:rFonts w:ascii="Arial" w:cs="Arial" w:eastAsia="Arial" w:hAnsi="Arial"/>
                <w:sz w:val="16"/>
                <w:szCs w:val="16"/>
                <w:color w:val="auto"/>
              </w:rPr>
              <w:t>74,475</w:t>
            </w:r>
          </w:p>
        </w:tc>
        <w:tc>
          <w:tcPr>
            <w:tcW w:w="980" w:type="dxa"/>
            <w:vAlign w:val="bottom"/>
          </w:tcPr>
          <w:p>
            <w:pPr>
              <w:ind w:left="60"/>
              <w:spacing w:after="0"/>
              <w:rPr>
                <w:sz w:val="20"/>
                <w:szCs w:val="20"/>
                <w:color w:val="auto"/>
              </w:rPr>
            </w:pPr>
            <w:r>
              <w:rPr>
                <w:rFonts w:ascii="Arial" w:cs="Arial" w:eastAsia="Arial" w:hAnsi="Arial"/>
                <w:sz w:val="16"/>
                <w:szCs w:val="16"/>
                <w:color w:val="auto"/>
              </w:rPr>
              <w:t>$ 8,075</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February 2021</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Symmetry</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74,381</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$ 7,030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October 2020</w:t>
            </w:r>
          </w:p>
        </w:tc>
        <w:tc>
          <w:tcPr>
            <w:tcW w:w="0" w:type="dxa"/>
            <w:vAlign w:val="bottom"/>
          </w:tcPr>
          <w:p>
            <w:pPr>
              <w:spacing w:after="0"/>
              <w:rPr>
                <w:sz w:val="1"/>
                <w:szCs w:val="1"/>
                <w:color w:val="auto"/>
              </w:rPr>
            </w:pPr>
          </w:p>
        </w:tc>
      </w:tr>
      <w:tr>
        <w:trPr>
          <w:trHeight w:val="202"/>
        </w:trPr>
        <w:tc>
          <w:tcPr>
            <w:tcW w:w="2580" w:type="dxa"/>
            <w:vAlign w:val="bottom"/>
          </w:tcPr>
          <w:p>
            <w:pPr>
              <w:ind w:left="40"/>
              <w:spacing w:after="0"/>
              <w:rPr>
                <w:sz w:val="20"/>
                <w:szCs w:val="20"/>
                <w:color w:val="auto"/>
              </w:rPr>
            </w:pPr>
            <w:r>
              <w:rPr>
                <w:rFonts w:ascii="Arial" w:cs="Arial" w:eastAsia="Arial" w:hAnsi="Arial"/>
                <w:sz w:val="16"/>
                <w:szCs w:val="16"/>
                <w:color w:val="auto"/>
              </w:rPr>
              <w:t>Navios Apollon I</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2005</w:t>
            </w:r>
          </w:p>
        </w:tc>
        <w:tc>
          <w:tcPr>
            <w:tcW w:w="720" w:type="dxa"/>
            <w:vAlign w:val="bottom"/>
          </w:tcPr>
          <w:p>
            <w:pPr>
              <w:jc w:val="right"/>
              <w:spacing w:after="0"/>
              <w:rPr>
                <w:sz w:val="20"/>
                <w:szCs w:val="20"/>
                <w:color w:val="auto"/>
              </w:rPr>
            </w:pPr>
            <w:r>
              <w:rPr>
                <w:rFonts w:ascii="Arial" w:cs="Arial" w:eastAsia="Arial" w:hAnsi="Arial"/>
                <w:sz w:val="16"/>
                <w:szCs w:val="16"/>
                <w:color w:val="auto"/>
              </w:rPr>
              <w:t>87,052</w:t>
            </w: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99"/>
              <w:spacing w:after="0"/>
              <w:rPr>
                <w:sz w:val="20"/>
                <w:szCs w:val="20"/>
                <w:color w:val="auto"/>
              </w:rPr>
            </w:pPr>
            <w:r>
              <w:rPr>
                <w:rFonts w:ascii="Arial" w:cs="Arial" w:eastAsia="Arial" w:hAnsi="Arial"/>
                <w:sz w:val="16"/>
                <w:szCs w:val="16"/>
                <w:color w:val="auto"/>
                <w:w w:val="91"/>
              </w:rPr>
              <w:t>113% average BPI 4TC</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August 2020</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Sphera</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2016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84,872</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$ 11,954</w:t>
            </w:r>
          </w:p>
        </w:tc>
        <w:tc>
          <w:tcPr>
            <w:tcW w:w="224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2021</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99"/>
              <w:spacing w:after="0"/>
              <w:rPr>
                <w:sz w:val="20"/>
                <w:szCs w:val="20"/>
                <w:color w:val="auto"/>
              </w:rPr>
            </w:pPr>
            <w:r>
              <w:rPr>
                <w:rFonts w:ascii="Arial" w:cs="Arial" w:eastAsia="Arial" w:hAnsi="Arial"/>
                <w:sz w:val="16"/>
                <w:szCs w:val="16"/>
                <w:color w:val="auto"/>
                <w:w w:val="91"/>
              </w:rPr>
              <w:t>120% average BPI 4TC</w:t>
            </w: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March 2022</w:t>
            </w:r>
          </w:p>
        </w:tc>
        <w:tc>
          <w:tcPr>
            <w:tcW w:w="0" w:type="dxa"/>
            <w:vAlign w:val="bottom"/>
          </w:tcPr>
          <w:p>
            <w:pPr>
              <w:spacing w:after="0"/>
              <w:rPr>
                <w:sz w:val="1"/>
                <w:szCs w:val="1"/>
                <w:color w:val="auto"/>
              </w:rPr>
            </w:pPr>
          </w:p>
        </w:tc>
      </w:tr>
      <w:tr>
        <w:trPr>
          <w:trHeight w:val="85"/>
        </w:trPr>
        <w:tc>
          <w:tcPr>
            <w:tcW w:w="25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5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Camelia</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75,162</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$ 9,500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Navios Anthos</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2004</w:t>
            </w:r>
          </w:p>
        </w:tc>
        <w:tc>
          <w:tcPr>
            <w:tcW w:w="720" w:type="dxa"/>
            <w:vAlign w:val="bottom"/>
          </w:tcPr>
          <w:p>
            <w:pPr>
              <w:jc w:val="right"/>
              <w:spacing w:after="0"/>
              <w:rPr>
                <w:sz w:val="20"/>
                <w:szCs w:val="20"/>
                <w:color w:val="auto"/>
              </w:rPr>
            </w:pPr>
            <w:r>
              <w:rPr>
                <w:rFonts w:ascii="Arial" w:cs="Arial" w:eastAsia="Arial" w:hAnsi="Arial"/>
                <w:sz w:val="16"/>
                <w:szCs w:val="16"/>
                <w:color w:val="auto"/>
              </w:rPr>
              <w:t>75,798</w:t>
            </w:r>
          </w:p>
        </w:tc>
        <w:tc>
          <w:tcPr>
            <w:tcW w:w="980" w:type="dxa"/>
            <w:vAlign w:val="bottom"/>
          </w:tcPr>
          <w:p>
            <w:pPr>
              <w:ind w:left="60"/>
              <w:spacing w:after="0"/>
              <w:rPr>
                <w:sz w:val="20"/>
                <w:szCs w:val="20"/>
                <w:color w:val="auto"/>
              </w:rPr>
            </w:pPr>
            <w:r>
              <w:rPr>
                <w:rFonts w:ascii="Arial" w:cs="Arial" w:eastAsia="Arial" w:hAnsi="Arial"/>
                <w:sz w:val="16"/>
                <w:szCs w:val="16"/>
                <w:color w:val="auto"/>
              </w:rPr>
              <w:t>$ 9,500</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Azalea</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74,759</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$ 11,400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2021</w:t>
            </w: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Copernicus N</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2010</w:t>
            </w:r>
          </w:p>
        </w:tc>
        <w:tc>
          <w:tcPr>
            <w:tcW w:w="720" w:type="dxa"/>
            <w:vAlign w:val="bottom"/>
          </w:tcPr>
          <w:p>
            <w:pPr>
              <w:jc w:val="right"/>
              <w:spacing w:after="0"/>
              <w:rPr>
                <w:sz w:val="20"/>
                <w:szCs w:val="20"/>
                <w:color w:val="auto"/>
              </w:rPr>
            </w:pPr>
            <w:r>
              <w:rPr>
                <w:rFonts w:ascii="Arial" w:cs="Arial" w:eastAsia="Arial" w:hAnsi="Arial"/>
                <w:sz w:val="16"/>
                <w:szCs w:val="16"/>
                <w:color w:val="auto"/>
              </w:rPr>
              <w:t>93,062</w:t>
            </w:r>
          </w:p>
        </w:tc>
        <w:tc>
          <w:tcPr>
            <w:tcW w:w="980" w:type="dxa"/>
            <w:vAlign w:val="bottom"/>
          </w:tcPr>
          <w:p>
            <w:pPr>
              <w:ind w:left="60"/>
              <w:spacing w:after="0"/>
              <w:rPr>
                <w:sz w:val="20"/>
                <w:szCs w:val="20"/>
                <w:color w:val="auto"/>
              </w:rPr>
            </w:pPr>
            <w:r>
              <w:rPr>
                <w:rFonts w:ascii="Arial" w:cs="Arial" w:eastAsia="Arial" w:hAnsi="Arial"/>
                <w:sz w:val="16"/>
                <w:szCs w:val="16"/>
                <w:color w:val="auto"/>
              </w:rPr>
              <w:t>$ 11,056</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1"/>
              </w:rPr>
              <w:t>95.75% average BPI 4TC</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February 2021</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rPr>
              <w:t>Unity N</w:t>
            </w:r>
          </w:p>
        </w:tc>
        <w:tc>
          <w:tcPr>
            <w:tcW w:w="2740" w:type="dxa"/>
            <w:vAlign w:val="bottom"/>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tcPr>
          <w:p>
            <w:pPr>
              <w:ind w:left="100"/>
              <w:spacing w:after="0"/>
              <w:rPr>
                <w:sz w:val="20"/>
                <w:szCs w:val="20"/>
                <w:color w:val="auto"/>
              </w:rPr>
            </w:pPr>
            <w:r>
              <w:rPr>
                <w:rFonts w:ascii="Arial" w:cs="Arial" w:eastAsia="Arial" w:hAnsi="Arial"/>
                <w:sz w:val="16"/>
                <w:szCs w:val="16"/>
                <w:color w:val="auto"/>
              </w:rPr>
              <w:t>2011</w:t>
            </w:r>
          </w:p>
        </w:tc>
        <w:tc>
          <w:tcPr>
            <w:tcW w:w="720" w:type="dxa"/>
            <w:vAlign w:val="bottom"/>
          </w:tcPr>
          <w:p>
            <w:pPr>
              <w:jc w:val="right"/>
              <w:spacing w:after="0"/>
              <w:rPr>
                <w:sz w:val="20"/>
                <w:szCs w:val="20"/>
                <w:color w:val="auto"/>
              </w:rPr>
            </w:pPr>
            <w:r>
              <w:rPr>
                <w:rFonts w:ascii="Arial" w:cs="Arial" w:eastAsia="Arial" w:hAnsi="Arial"/>
                <w:sz w:val="16"/>
                <w:szCs w:val="16"/>
                <w:color w:val="auto"/>
              </w:rPr>
              <w:t>79,642</w:t>
            </w: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99"/>
              <w:spacing w:after="0"/>
              <w:rPr>
                <w:sz w:val="20"/>
                <w:szCs w:val="20"/>
                <w:color w:val="auto"/>
              </w:rPr>
            </w:pPr>
            <w:r>
              <w:rPr>
                <w:rFonts w:ascii="Arial" w:cs="Arial" w:eastAsia="Arial" w:hAnsi="Arial"/>
                <w:sz w:val="16"/>
                <w:szCs w:val="16"/>
                <w:color w:val="auto"/>
                <w:w w:val="91"/>
              </w:rPr>
              <w:t>90% average BPI 4TC</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April 2021</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Odysseus N</w:t>
            </w:r>
          </w:p>
        </w:tc>
        <w:tc>
          <w:tcPr>
            <w:tcW w:w="2740" w:type="dxa"/>
            <w:vAlign w:val="bottom"/>
            <w:shd w:val="clear" w:color="auto" w:fill="CCEEFF"/>
          </w:tcPr>
          <w:p>
            <w:pPr>
              <w:jc w:val="center"/>
              <w:ind w:left="780"/>
              <w:spacing w:after="0"/>
              <w:rPr>
                <w:sz w:val="20"/>
                <w:szCs w:val="20"/>
                <w:color w:val="auto"/>
              </w:rPr>
            </w:pPr>
            <w:r>
              <w:rPr>
                <w:rFonts w:ascii="Arial" w:cs="Arial" w:eastAsia="Arial" w:hAnsi="Arial"/>
                <w:sz w:val="16"/>
                <w:szCs w:val="16"/>
                <w:color w:val="auto"/>
                <w:w w:val="88"/>
              </w:rPr>
              <w:t>Panamax</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2011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79,642</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$ 9,390</w:t>
            </w:r>
          </w:p>
        </w:tc>
        <w:tc>
          <w:tcPr>
            <w:tcW w:w="224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2021</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99"/>
              <w:spacing w:after="0"/>
              <w:rPr>
                <w:sz w:val="20"/>
                <w:szCs w:val="20"/>
                <w:color w:val="auto"/>
              </w:rPr>
            </w:pPr>
            <w:r>
              <w:rPr>
                <w:rFonts w:ascii="Arial" w:cs="Arial" w:eastAsia="Arial" w:hAnsi="Arial"/>
                <w:sz w:val="16"/>
                <w:szCs w:val="16"/>
                <w:color w:val="auto"/>
                <w:w w:val="91"/>
              </w:rPr>
              <w:t>95.5% average BPI 4TC</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June 2021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Beaufiks</w:t>
            </w:r>
          </w:p>
        </w:tc>
        <w:tc>
          <w:tcPr>
            <w:tcW w:w="2740" w:type="dxa"/>
            <w:vAlign w:val="bottom"/>
            <w:shd w:val="clear" w:color="auto" w:fill="CCEEFF"/>
          </w:tcPr>
          <w:p>
            <w:pPr>
              <w:jc w:val="center"/>
              <w:ind w:left="760"/>
              <w:spacing w:after="0"/>
              <w:rPr>
                <w:sz w:val="20"/>
                <w:szCs w:val="20"/>
                <w:color w:val="auto"/>
              </w:rPr>
            </w:pPr>
            <w:r>
              <w:rPr>
                <w:rFonts w:ascii="Arial" w:cs="Arial" w:eastAsia="Arial" w:hAnsi="Arial"/>
                <w:sz w:val="16"/>
                <w:szCs w:val="16"/>
                <w:color w:val="auto"/>
                <w:w w:val="86"/>
              </w:rPr>
              <w:t>Capesize</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180,310</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100% average BCI 5TC</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2021</w:t>
            </w: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Navios Symphony</w:t>
            </w:r>
          </w:p>
        </w:tc>
        <w:tc>
          <w:tcPr>
            <w:tcW w:w="2740" w:type="dxa"/>
            <w:vAlign w:val="bottom"/>
          </w:tcPr>
          <w:p>
            <w:pPr>
              <w:jc w:val="center"/>
              <w:ind w:left="760"/>
              <w:spacing w:after="0"/>
              <w:rPr>
                <w:sz w:val="20"/>
                <w:szCs w:val="20"/>
                <w:color w:val="auto"/>
              </w:rPr>
            </w:pPr>
            <w:r>
              <w:rPr>
                <w:rFonts w:ascii="Arial" w:cs="Arial" w:eastAsia="Arial" w:hAnsi="Arial"/>
                <w:sz w:val="16"/>
                <w:szCs w:val="16"/>
                <w:color w:val="auto"/>
                <w:w w:val="86"/>
              </w:rPr>
              <w:t>Capesize</w:t>
            </w:r>
          </w:p>
        </w:tc>
        <w:tc>
          <w:tcPr>
            <w:tcW w:w="520" w:type="dxa"/>
            <w:vAlign w:val="bottom"/>
          </w:tcPr>
          <w:p>
            <w:pPr>
              <w:ind w:left="100"/>
              <w:spacing w:after="0"/>
              <w:rPr>
                <w:sz w:val="20"/>
                <w:szCs w:val="20"/>
                <w:color w:val="auto"/>
              </w:rPr>
            </w:pPr>
            <w:r>
              <w:rPr>
                <w:rFonts w:ascii="Arial" w:cs="Arial" w:eastAsia="Arial" w:hAnsi="Arial"/>
                <w:sz w:val="16"/>
                <w:szCs w:val="16"/>
                <w:color w:val="auto"/>
              </w:rPr>
              <w:t>2010</w:t>
            </w:r>
          </w:p>
        </w:tc>
        <w:tc>
          <w:tcPr>
            <w:tcW w:w="720" w:type="dxa"/>
            <w:vAlign w:val="bottom"/>
          </w:tcPr>
          <w:p>
            <w:pPr>
              <w:jc w:val="right"/>
              <w:spacing w:after="0"/>
              <w:rPr>
                <w:sz w:val="20"/>
                <w:szCs w:val="20"/>
                <w:color w:val="auto"/>
              </w:rPr>
            </w:pPr>
            <w:r>
              <w:rPr>
                <w:rFonts w:ascii="Arial" w:cs="Arial" w:eastAsia="Arial" w:hAnsi="Arial"/>
                <w:sz w:val="16"/>
                <w:szCs w:val="16"/>
                <w:color w:val="auto"/>
              </w:rPr>
              <w:t>178,132</w:t>
            </w:r>
          </w:p>
        </w:tc>
        <w:tc>
          <w:tcPr>
            <w:tcW w:w="980" w:type="dxa"/>
            <w:vAlign w:val="bottom"/>
          </w:tcPr>
          <w:p>
            <w:pPr>
              <w:ind w:left="60"/>
              <w:spacing w:after="0"/>
              <w:rPr>
                <w:sz w:val="20"/>
                <w:szCs w:val="20"/>
                <w:color w:val="auto"/>
              </w:rPr>
            </w:pPr>
            <w:r>
              <w:rPr>
                <w:rFonts w:ascii="Arial" w:cs="Arial" w:eastAsia="Arial" w:hAnsi="Arial"/>
                <w:sz w:val="16"/>
                <w:szCs w:val="16"/>
                <w:color w:val="auto"/>
              </w:rPr>
              <w:t>$ 18,900</w:t>
            </w:r>
          </w:p>
        </w:tc>
        <w:tc>
          <w:tcPr>
            <w:tcW w:w="2240" w:type="dxa"/>
            <w:vAlign w:val="bottom"/>
          </w:tcPr>
          <w:p>
            <w:pPr>
              <w:ind w:left="1100"/>
              <w:spacing w:after="0"/>
              <w:rPr>
                <w:sz w:val="20"/>
                <w:szCs w:val="20"/>
                <w:color w:val="auto"/>
              </w:rPr>
            </w:pPr>
            <w:r>
              <w:rPr>
                <w:rFonts w:ascii="Arial" w:cs="Arial" w:eastAsia="Arial" w:hAnsi="Arial"/>
                <w:sz w:val="16"/>
                <w:szCs w:val="16"/>
                <w:color w:val="auto"/>
              </w:rPr>
              <w:t>No</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September 2020</w:t>
            </w: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Fantastiks</w:t>
            </w:r>
          </w:p>
        </w:tc>
        <w:tc>
          <w:tcPr>
            <w:tcW w:w="2740" w:type="dxa"/>
            <w:vAlign w:val="bottom"/>
            <w:shd w:val="clear" w:color="auto" w:fill="CCEEFF"/>
          </w:tcPr>
          <w:p>
            <w:pPr>
              <w:jc w:val="center"/>
              <w:ind w:left="760"/>
              <w:spacing w:after="0"/>
              <w:rPr>
                <w:sz w:val="20"/>
                <w:szCs w:val="20"/>
                <w:color w:val="auto"/>
              </w:rPr>
            </w:pPr>
            <w:r>
              <w:rPr>
                <w:rFonts w:ascii="Arial" w:cs="Arial" w:eastAsia="Arial" w:hAnsi="Arial"/>
                <w:sz w:val="16"/>
                <w:szCs w:val="16"/>
                <w:color w:val="auto"/>
                <w:w w:val="86"/>
              </w:rPr>
              <w:t>Capesize</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180,265</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$ 21,650</w:t>
            </w:r>
          </w:p>
        </w:tc>
        <w:tc>
          <w:tcPr>
            <w:tcW w:w="2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No</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2023</w:t>
            </w: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Navios Aurora II</w:t>
            </w:r>
          </w:p>
        </w:tc>
        <w:tc>
          <w:tcPr>
            <w:tcW w:w="2740" w:type="dxa"/>
            <w:vAlign w:val="bottom"/>
          </w:tcPr>
          <w:p>
            <w:pPr>
              <w:jc w:val="center"/>
              <w:ind w:left="760"/>
              <w:spacing w:after="0"/>
              <w:rPr>
                <w:sz w:val="20"/>
                <w:szCs w:val="20"/>
                <w:color w:val="auto"/>
              </w:rPr>
            </w:pPr>
            <w:r>
              <w:rPr>
                <w:rFonts w:ascii="Arial" w:cs="Arial" w:eastAsia="Arial" w:hAnsi="Arial"/>
                <w:sz w:val="16"/>
                <w:szCs w:val="16"/>
                <w:color w:val="auto"/>
                <w:w w:val="86"/>
              </w:rPr>
              <w:t>Capesize</w:t>
            </w:r>
          </w:p>
        </w:tc>
        <w:tc>
          <w:tcPr>
            <w:tcW w:w="520" w:type="dxa"/>
            <w:vAlign w:val="bottom"/>
          </w:tcPr>
          <w:p>
            <w:pPr>
              <w:ind w:left="100"/>
              <w:spacing w:after="0"/>
              <w:rPr>
                <w:sz w:val="20"/>
                <w:szCs w:val="20"/>
                <w:color w:val="auto"/>
              </w:rPr>
            </w:pPr>
            <w:r>
              <w:rPr>
                <w:rFonts w:ascii="Arial" w:cs="Arial" w:eastAsia="Arial" w:hAnsi="Arial"/>
                <w:sz w:val="16"/>
                <w:szCs w:val="16"/>
                <w:color w:val="auto"/>
              </w:rPr>
              <w:t>2009</w:t>
            </w:r>
          </w:p>
        </w:tc>
        <w:tc>
          <w:tcPr>
            <w:tcW w:w="720" w:type="dxa"/>
            <w:vAlign w:val="bottom"/>
          </w:tcPr>
          <w:p>
            <w:pPr>
              <w:jc w:val="right"/>
              <w:spacing w:after="0"/>
              <w:rPr>
                <w:sz w:val="20"/>
                <w:szCs w:val="20"/>
                <w:color w:val="auto"/>
              </w:rPr>
            </w:pPr>
            <w:r>
              <w:rPr>
                <w:rFonts w:ascii="Arial" w:cs="Arial" w:eastAsia="Arial" w:hAnsi="Arial"/>
                <w:sz w:val="16"/>
                <w:szCs w:val="16"/>
                <w:color w:val="auto"/>
              </w:rPr>
              <w:t>169,031</w:t>
            </w: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99"/>
              <w:spacing w:after="0"/>
              <w:rPr>
                <w:sz w:val="20"/>
                <w:szCs w:val="20"/>
                <w:color w:val="auto"/>
              </w:rPr>
            </w:pPr>
            <w:r>
              <w:rPr>
                <w:rFonts w:ascii="Arial" w:cs="Arial" w:eastAsia="Arial" w:hAnsi="Arial"/>
                <w:sz w:val="16"/>
                <w:szCs w:val="16"/>
                <w:color w:val="auto"/>
                <w:w w:val="93"/>
              </w:rPr>
              <w:t>95.25% average BCI 5TC</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February 2021</w:t>
            </w: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Pollux</w:t>
            </w:r>
          </w:p>
        </w:tc>
        <w:tc>
          <w:tcPr>
            <w:tcW w:w="2740" w:type="dxa"/>
            <w:vAlign w:val="bottom"/>
            <w:shd w:val="clear" w:color="auto" w:fill="CCEEFF"/>
          </w:tcPr>
          <w:p>
            <w:pPr>
              <w:jc w:val="center"/>
              <w:ind w:left="760"/>
              <w:spacing w:after="0"/>
              <w:rPr>
                <w:sz w:val="20"/>
                <w:szCs w:val="20"/>
                <w:color w:val="auto"/>
              </w:rPr>
            </w:pPr>
            <w:r>
              <w:rPr>
                <w:rFonts w:ascii="Arial" w:cs="Arial" w:eastAsia="Arial" w:hAnsi="Arial"/>
                <w:sz w:val="16"/>
                <w:szCs w:val="16"/>
                <w:color w:val="auto"/>
                <w:w w:val="86"/>
              </w:rPr>
              <w:t>Capesize</w:t>
            </w:r>
          </w:p>
        </w:tc>
        <w:tc>
          <w:tcPr>
            <w:tcW w:w="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2009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180,727</w:t>
            </w:r>
          </w:p>
        </w:tc>
        <w:tc>
          <w:tcPr>
            <w:tcW w:w="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2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1"/>
              </w:rPr>
              <w:t>100% of pool earnings</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August 2020</w:t>
            </w: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Navios Sol</w:t>
            </w:r>
          </w:p>
        </w:tc>
        <w:tc>
          <w:tcPr>
            <w:tcW w:w="2740" w:type="dxa"/>
            <w:vAlign w:val="bottom"/>
          </w:tcPr>
          <w:p>
            <w:pPr>
              <w:jc w:val="center"/>
              <w:ind w:left="760"/>
              <w:spacing w:after="0"/>
              <w:rPr>
                <w:sz w:val="20"/>
                <w:szCs w:val="20"/>
                <w:color w:val="auto"/>
              </w:rPr>
            </w:pPr>
            <w:r>
              <w:rPr>
                <w:rFonts w:ascii="Arial" w:cs="Arial" w:eastAsia="Arial" w:hAnsi="Arial"/>
                <w:sz w:val="16"/>
                <w:szCs w:val="16"/>
                <w:color w:val="auto"/>
                <w:w w:val="86"/>
              </w:rPr>
              <w:t>Capesize</w:t>
            </w:r>
          </w:p>
        </w:tc>
        <w:tc>
          <w:tcPr>
            <w:tcW w:w="520" w:type="dxa"/>
            <w:vAlign w:val="bottom"/>
          </w:tcPr>
          <w:p>
            <w:pPr>
              <w:ind w:left="100"/>
              <w:spacing w:after="0"/>
              <w:rPr>
                <w:sz w:val="20"/>
                <w:szCs w:val="20"/>
                <w:color w:val="auto"/>
              </w:rPr>
            </w:pPr>
            <w:r>
              <w:rPr>
                <w:rFonts w:ascii="Arial" w:cs="Arial" w:eastAsia="Arial" w:hAnsi="Arial"/>
                <w:sz w:val="16"/>
                <w:szCs w:val="16"/>
                <w:color w:val="auto"/>
              </w:rPr>
              <w:t>2009</w:t>
            </w:r>
          </w:p>
        </w:tc>
        <w:tc>
          <w:tcPr>
            <w:tcW w:w="720" w:type="dxa"/>
            <w:vAlign w:val="bottom"/>
          </w:tcPr>
          <w:p>
            <w:pPr>
              <w:jc w:val="right"/>
              <w:spacing w:after="0"/>
              <w:rPr>
                <w:sz w:val="20"/>
                <w:szCs w:val="20"/>
                <w:color w:val="auto"/>
              </w:rPr>
            </w:pPr>
            <w:r>
              <w:rPr>
                <w:rFonts w:ascii="Arial" w:cs="Arial" w:eastAsia="Arial" w:hAnsi="Arial"/>
                <w:sz w:val="16"/>
                <w:szCs w:val="16"/>
                <w:color w:val="auto"/>
              </w:rPr>
              <w:t>180,274</w:t>
            </w:r>
          </w:p>
        </w:tc>
        <w:tc>
          <w:tcPr>
            <w:tcW w:w="980" w:type="dxa"/>
            <w:vAlign w:val="bottom"/>
          </w:tcPr>
          <w:p>
            <w:pPr>
              <w:ind w:left="60"/>
              <w:spacing w:after="0"/>
              <w:rPr>
                <w:sz w:val="20"/>
                <w:szCs w:val="20"/>
                <w:color w:val="auto"/>
              </w:rPr>
            </w:pPr>
            <w:r>
              <w:rPr>
                <w:rFonts w:ascii="Arial" w:cs="Arial" w:eastAsia="Arial" w:hAnsi="Arial"/>
                <w:sz w:val="16"/>
                <w:szCs w:val="16"/>
                <w:color w:val="auto"/>
              </w:rPr>
              <w:t>$ —</w:t>
            </w:r>
          </w:p>
        </w:tc>
        <w:tc>
          <w:tcPr>
            <w:tcW w:w="2240" w:type="dxa"/>
            <w:vAlign w:val="bottom"/>
          </w:tcPr>
          <w:p>
            <w:pPr>
              <w:jc w:val="center"/>
              <w:ind w:right="119"/>
              <w:spacing w:after="0"/>
              <w:rPr>
                <w:sz w:val="20"/>
                <w:szCs w:val="20"/>
                <w:color w:val="auto"/>
              </w:rPr>
            </w:pPr>
            <w:r>
              <w:rPr>
                <w:rFonts w:ascii="Arial" w:cs="Arial" w:eastAsia="Arial" w:hAnsi="Arial"/>
                <w:sz w:val="16"/>
                <w:szCs w:val="16"/>
                <w:color w:val="auto"/>
                <w:w w:val="92"/>
              </w:rPr>
              <w:t>110% average BCI 5TC</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March 2021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3" w:name="page4"/>
    <w:bookmarkEnd w:id="3"/>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Fulvia</w:t>
            </w:r>
          </w:p>
        </w:tc>
        <w:tc>
          <w:tcPr>
            <w:tcW w:w="22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179,263</w:t>
            </w:r>
          </w:p>
        </w:tc>
        <w:tc>
          <w:tcPr>
            <w:tcW w:w="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100% average BCI 5TC</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June 2021</w:t>
            </w:r>
          </w:p>
        </w:tc>
      </w:tr>
      <w:tr>
        <w:trPr>
          <w:trHeight w:val="145"/>
        </w:trPr>
        <w:tc>
          <w:tcPr>
            <w:tcW w:w="2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206"/>
        </w:trPr>
        <w:tc>
          <w:tcPr>
            <w:tcW w:w="2800" w:type="dxa"/>
            <w:vAlign w:val="bottom"/>
          </w:tcPr>
          <w:p>
            <w:pPr>
              <w:ind w:left="40"/>
              <w:spacing w:after="0"/>
              <w:rPr>
                <w:sz w:val="20"/>
                <w:szCs w:val="20"/>
                <w:color w:val="auto"/>
              </w:rPr>
            </w:pPr>
            <w:r>
              <w:rPr>
                <w:rFonts w:ascii="Arial" w:cs="Arial" w:eastAsia="Arial" w:hAnsi="Arial"/>
                <w:sz w:val="16"/>
                <w:szCs w:val="16"/>
                <w:color w:val="auto"/>
              </w:rPr>
              <w:t>Navios Buena Ventura</w:t>
            </w:r>
          </w:p>
        </w:tc>
        <w:tc>
          <w:tcPr>
            <w:tcW w:w="2240" w:type="dxa"/>
            <w:vAlign w:val="bottom"/>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700" w:type="dxa"/>
            <w:vAlign w:val="bottom"/>
          </w:tcPr>
          <w:p>
            <w:pPr>
              <w:jc w:val="right"/>
              <w:spacing w:after="0"/>
              <w:rPr>
                <w:sz w:val="20"/>
                <w:szCs w:val="20"/>
                <w:color w:val="auto"/>
              </w:rPr>
            </w:pPr>
            <w:r>
              <w:rPr>
                <w:rFonts w:ascii="Arial" w:cs="Arial" w:eastAsia="Arial" w:hAnsi="Arial"/>
                <w:sz w:val="16"/>
                <w:szCs w:val="16"/>
                <w:color w:val="auto"/>
              </w:rPr>
              <w:t>179,259</w:t>
            </w:r>
          </w:p>
        </w:tc>
        <w:tc>
          <w:tcPr>
            <w:tcW w:w="920" w:type="dxa"/>
            <w:vAlign w:val="bottom"/>
          </w:tcPr>
          <w:p>
            <w:pPr>
              <w:ind w:left="60"/>
              <w:spacing w:after="0"/>
              <w:rPr>
                <w:sz w:val="20"/>
                <w:szCs w:val="20"/>
                <w:color w:val="auto"/>
              </w:rPr>
            </w:pPr>
            <w:r>
              <w:rPr>
                <w:rFonts w:ascii="Arial" w:cs="Arial" w:eastAsia="Arial" w:hAnsi="Arial"/>
                <w:sz w:val="16"/>
                <w:szCs w:val="16"/>
                <w:color w:val="auto"/>
              </w:rPr>
              <w:t>$ —</w:t>
            </w:r>
          </w:p>
        </w:tc>
        <w:tc>
          <w:tcPr>
            <w:tcW w:w="2340" w:type="dxa"/>
            <w:vAlign w:val="bottom"/>
          </w:tcPr>
          <w:p>
            <w:pPr>
              <w:ind w:left="300"/>
              <w:spacing w:after="0"/>
              <w:rPr>
                <w:sz w:val="20"/>
                <w:szCs w:val="20"/>
                <w:color w:val="auto"/>
              </w:rPr>
            </w:pPr>
            <w:r>
              <w:rPr>
                <w:rFonts w:ascii="Arial" w:cs="Arial" w:eastAsia="Arial" w:hAnsi="Arial"/>
                <w:sz w:val="16"/>
                <w:szCs w:val="16"/>
                <w:color w:val="auto"/>
              </w:rPr>
              <w:t>101% average BCI 5TC</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March 2021</w:t>
            </w:r>
          </w:p>
        </w:tc>
      </w:tr>
      <w:tr>
        <w:trPr>
          <w:trHeight w:val="145"/>
        </w:trPr>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62"/>
        </w:trPr>
        <w:tc>
          <w:tcPr>
            <w:tcW w:w="280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rPr>
              <w:t>Navios Melodia</w:t>
            </w:r>
          </w:p>
        </w:tc>
        <w:tc>
          <w:tcPr>
            <w:tcW w:w="2240" w:type="dxa"/>
            <w:vAlign w:val="bottom"/>
            <w:shd w:val="clear" w:color="auto" w:fill="CCEEFF"/>
          </w:tcPr>
          <w:p>
            <w:pPr>
              <w:ind w:left="1280"/>
              <w:spacing w:after="0" w:line="162" w:lineRule="exact"/>
              <w:rPr>
                <w:sz w:val="20"/>
                <w:szCs w:val="20"/>
                <w:color w:val="auto"/>
              </w:rPr>
            </w:pPr>
            <w:r>
              <w:rPr>
                <w:rFonts w:ascii="Arial" w:cs="Arial" w:eastAsia="Arial" w:hAnsi="Arial"/>
                <w:sz w:val="16"/>
                <w:szCs w:val="16"/>
                <w:color w:val="auto"/>
              </w:rPr>
              <w:t>Capesize</w:t>
            </w:r>
          </w:p>
        </w:tc>
        <w:tc>
          <w:tcPr>
            <w:tcW w:w="82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2010</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179,132</w:t>
            </w:r>
          </w:p>
        </w:tc>
        <w:tc>
          <w:tcPr>
            <w:tcW w:w="92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$ 29,356</w:t>
            </w:r>
          </w:p>
        </w:tc>
        <w:tc>
          <w:tcPr>
            <w:tcW w:w="2340" w:type="dxa"/>
            <w:vAlign w:val="bottom"/>
            <w:shd w:val="clear" w:color="auto" w:fill="CCEEFF"/>
          </w:tcPr>
          <w:p>
            <w:pPr>
              <w:jc w:val="center"/>
              <w:ind w:left="119"/>
              <w:spacing w:after="0" w:line="162" w:lineRule="exact"/>
              <w:rPr>
                <w:sz w:val="20"/>
                <w:szCs w:val="20"/>
                <w:color w:val="auto"/>
              </w:rPr>
            </w:pPr>
            <w:r>
              <w:rPr>
                <w:rFonts w:ascii="Arial" w:cs="Arial" w:eastAsia="Arial" w:hAnsi="Arial"/>
                <w:sz w:val="16"/>
                <w:szCs w:val="16"/>
                <w:color w:val="auto"/>
                <w:w w:val="92"/>
              </w:rPr>
              <w:t>Profit sharing 50% above</w:t>
            </w:r>
          </w:p>
        </w:tc>
        <w:tc>
          <w:tcPr>
            <w:tcW w:w="142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September 2022</w:t>
            </w:r>
          </w:p>
        </w:tc>
      </w:tr>
      <w:tr>
        <w:trPr>
          <w:trHeight w:val="179"/>
        </w:trPr>
        <w:tc>
          <w:tcPr>
            <w:tcW w:w="28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jc w:val="center"/>
              <w:ind w:left="119"/>
              <w:spacing w:after="0" w:line="179" w:lineRule="exact"/>
              <w:rPr>
                <w:sz w:val="20"/>
                <w:szCs w:val="20"/>
                <w:color w:val="auto"/>
              </w:rPr>
            </w:pPr>
            <w:r>
              <w:rPr>
                <w:rFonts w:ascii="Arial" w:cs="Arial" w:eastAsia="Arial" w:hAnsi="Arial"/>
                <w:sz w:val="16"/>
                <w:szCs w:val="16"/>
                <w:color w:val="auto"/>
                <w:w w:val="89"/>
              </w:rPr>
              <w:t>$37,500/day based on</w:t>
            </w:r>
          </w:p>
        </w:tc>
        <w:tc>
          <w:tcPr>
            <w:tcW w:w="1420" w:type="dxa"/>
            <w:vAlign w:val="bottom"/>
            <w:shd w:val="clear" w:color="auto" w:fill="CCEEFF"/>
          </w:tcPr>
          <w:p>
            <w:pPr>
              <w:spacing w:after="0"/>
              <w:rPr>
                <w:sz w:val="15"/>
                <w:szCs w:val="15"/>
                <w:color w:val="auto"/>
              </w:rPr>
            </w:pPr>
          </w:p>
        </w:tc>
      </w:tr>
      <w:tr>
        <w:trPr>
          <w:trHeight w:val="189"/>
        </w:trPr>
        <w:tc>
          <w:tcPr>
            <w:tcW w:w="28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3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1"/>
              </w:rPr>
              <w:t>Baltic Exchange Capesize</w:t>
            </w:r>
          </w:p>
        </w:tc>
        <w:tc>
          <w:tcPr>
            <w:tcW w:w="1420" w:type="dxa"/>
            <w:vAlign w:val="bottom"/>
            <w:shd w:val="clear" w:color="auto" w:fill="CCEEFF"/>
          </w:tcPr>
          <w:p>
            <w:pPr>
              <w:spacing w:after="0"/>
              <w:rPr>
                <w:sz w:val="16"/>
                <w:szCs w:val="16"/>
                <w:color w:val="auto"/>
              </w:rPr>
            </w:pPr>
          </w:p>
        </w:tc>
      </w:tr>
      <w:tr>
        <w:trPr>
          <w:trHeight w:val="199"/>
        </w:trPr>
        <w:tc>
          <w:tcPr>
            <w:tcW w:w="28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3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1"/>
              </w:rPr>
              <w:t>TC Average</w:t>
            </w:r>
          </w:p>
        </w:tc>
        <w:tc>
          <w:tcPr>
            <w:tcW w:w="1420" w:type="dxa"/>
            <w:vAlign w:val="bottom"/>
            <w:shd w:val="clear" w:color="auto" w:fill="CCEEFF"/>
          </w:tcPr>
          <w:p>
            <w:pPr>
              <w:spacing w:after="0"/>
              <w:rPr>
                <w:sz w:val="17"/>
                <w:szCs w:val="17"/>
                <w:color w:val="auto"/>
              </w:rPr>
            </w:pPr>
          </w:p>
        </w:tc>
      </w:tr>
      <w:tr>
        <w:trPr>
          <w:trHeight w:val="206"/>
        </w:trPr>
        <w:tc>
          <w:tcPr>
            <w:tcW w:w="2800" w:type="dxa"/>
            <w:vAlign w:val="bottom"/>
          </w:tcPr>
          <w:p>
            <w:pPr>
              <w:ind w:left="40"/>
              <w:spacing w:after="0"/>
              <w:rPr>
                <w:sz w:val="20"/>
                <w:szCs w:val="20"/>
                <w:color w:val="auto"/>
              </w:rPr>
            </w:pPr>
            <w:r>
              <w:rPr>
                <w:rFonts w:ascii="Arial" w:cs="Arial" w:eastAsia="Arial" w:hAnsi="Arial"/>
                <w:sz w:val="16"/>
                <w:szCs w:val="16"/>
                <w:color w:val="auto"/>
              </w:rPr>
              <w:t>Navios Luz</w:t>
            </w:r>
          </w:p>
        </w:tc>
        <w:tc>
          <w:tcPr>
            <w:tcW w:w="2240" w:type="dxa"/>
            <w:vAlign w:val="bottom"/>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700" w:type="dxa"/>
            <w:vAlign w:val="bottom"/>
          </w:tcPr>
          <w:p>
            <w:pPr>
              <w:jc w:val="right"/>
              <w:spacing w:after="0"/>
              <w:rPr>
                <w:sz w:val="20"/>
                <w:szCs w:val="20"/>
                <w:color w:val="auto"/>
              </w:rPr>
            </w:pPr>
            <w:r>
              <w:rPr>
                <w:rFonts w:ascii="Arial" w:cs="Arial" w:eastAsia="Arial" w:hAnsi="Arial"/>
                <w:sz w:val="16"/>
                <w:szCs w:val="16"/>
                <w:color w:val="auto"/>
              </w:rPr>
              <w:t>179,144</w:t>
            </w:r>
          </w:p>
        </w:tc>
        <w:tc>
          <w:tcPr>
            <w:tcW w:w="920" w:type="dxa"/>
            <w:vAlign w:val="bottom"/>
          </w:tcPr>
          <w:p>
            <w:pPr>
              <w:ind w:left="60"/>
              <w:spacing w:after="0"/>
              <w:rPr>
                <w:sz w:val="20"/>
                <w:szCs w:val="20"/>
                <w:color w:val="auto"/>
              </w:rPr>
            </w:pPr>
            <w:r>
              <w:rPr>
                <w:rFonts w:ascii="Arial" w:cs="Arial" w:eastAsia="Arial" w:hAnsi="Arial"/>
                <w:sz w:val="16"/>
                <w:szCs w:val="16"/>
                <w:color w:val="auto"/>
              </w:rPr>
              <w:t>$ —</w:t>
            </w:r>
          </w:p>
        </w:tc>
        <w:tc>
          <w:tcPr>
            <w:tcW w:w="2340" w:type="dxa"/>
            <w:vAlign w:val="bottom"/>
          </w:tcPr>
          <w:p>
            <w:pPr>
              <w:ind w:left="300"/>
              <w:spacing w:after="0"/>
              <w:rPr>
                <w:sz w:val="20"/>
                <w:szCs w:val="20"/>
                <w:color w:val="auto"/>
              </w:rPr>
            </w:pPr>
            <w:r>
              <w:rPr>
                <w:rFonts w:ascii="Arial" w:cs="Arial" w:eastAsia="Arial" w:hAnsi="Arial"/>
                <w:sz w:val="16"/>
                <w:szCs w:val="16"/>
                <w:color w:val="auto"/>
              </w:rPr>
              <w:t>100% average BCI 5TC</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February 2021</w:t>
            </w:r>
          </w:p>
        </w:tc>
      </w:tr>
      <w:tr>
        <w:trPr>
          <w:trHeight w:val="145"/>
        </w:trPr>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Ace</w:t>
            </w:r>
          </w:p>
        </w:tc>
        <w:tc>
          <w:tcPr>
            <w:tcW w:w="22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179,016</w:t>
            </w:r>
          </w:p>
        </w:tc>
        <w:tc>
          <w:tcPr>
            <w:tcW w:w="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109% average BCI 5TC</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2021</w:t>
            </w:r>
          </w:p>
        </w:tc>
      </w:tr>
      <w:tr>
        <w:trPr>
          <w:trHeight w:val="145"/>
        </w:trPr>
        <w:tc>
          <w:tcPr>
            <w:tcW w:w="2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206"/>
        </w:trPr>
        <w:tc>
          <w:tcPr>
            <w:tcW w:w="2800" w:type="dxa"/>
            <w:vAlign w:val="bottom"/>
          </w:tcPr>
          <w:p>
            <w:pPr>
              <w:ind w:left="40"/>
              <w:spacing w:after="0"/>
              <w:rPr>
                <w:sz w:val="20"/>
                <w:szCs w:val="20"/>
                <w:color w:val="auto"/>
              </w:rPr>
            </w:pPr>
            <w:r>
              <w:rPr>
                <w:rFonts w:ascii="Arial" w:cs="Arial" w:eastAsia="Arial" w:hAnsi="Arial"/>
                <w:sz w:val="16"/>
                <w:szCs w:val="16"/>
                <w:color w:val="auto"/>
              </w:rPr>
              <w:t>Navios Aster</w:t>
            </w:r>
          </w:p>
        </w:tc>
        <w:tc>
          <w:tcPr>
            <w:tcW w:w="2240" w:type="dxa"/>
            <w:vAlign w:val="bottom"/>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700" w:type="dxa"/>
            <w:vAlign w:val="bottom"/>
          </w:tcPr>
          <w:p>
            <w:pPr>
              <w:jc w:val="right"/>
              <w:spacing w:after="0"/>
              <w:rPr>
                <w:sz w:val="20"/>
                <w:szCs w:val="20"/>
                <w:color w:val="auto"/>
              </w:rPr>
            </w:pPr>
            <w:r>
              <w:rPr>
                <w:rFonts w:ascii="Arial" w:cs="Arial" w:eastAsia="Arial" w:hAnsi="Arial"/>
                <w:sz w:val="16"/>
                <w:szCs w:val="16"/>
                <w:color w:val="auto"/>
              </w:rPr>
              <w:t>179,314</w:t>
            </w:r>
          </w:p>
        </w:tc>
        <w:tc>
          <w:tcPr>
            <w:tcW w:w="920" w:type="dxa"/>
            <w:vAlign w:val="bottom"/>
          </w:tcPr>
          <w:p>
            <w:pPr>
              <w:ind w:left="60"/>
              <w:spacing w:after="0"/>
              <w:rPr>
                <w:sz w:val="20"/>
                <w:szCs w:val="20"/>
                <w:color w:val="auto"/>
              </w:rPr>
            </w:pPr>
            <w:r>
              <w:rPr>
                <w:rFonts w:ascii="Arial" w:cs="Arial" w:eastAsia="Arial" w:hAnsi="Arial"/>
                <w:sz w:val="16"/>
                <w:szCs w:val="16"/>
                <w:color w:val="auto"/>
              </w:rPr>
              <w:t>$ 21,945</w:t>
            </w:r>
          </w:p>
        </w:tc>
        <w:tc>
          <w:tcPr>
            <w:tcW w:w="2340" w:type="dxa"/>
            <w:vAlign w:val="bottom"/>
          </w:tcPr>
          <w:p>
            <w:pPr>
              <w:jc w:val="center"/>
              <w:ind w:left="99"/>
              <w:spacing w:after="0"/>
              <w:rPr>
                <w:sz w:val="20"/>
                <w:szCs w:val="20"/>
                <w:color w:val="auto"/>
              </w:rPr>
            </w:pPr>
            <w:r>
              <w:rPr>
                <w:rFonts w:ascii="Arial" w:cs="Arial" w:eastAsia="Arial" w:hAnsi="Arial"/>
                <w:sz w:val="16"/>
                <w:szCs w:val="16"/>
                <w:color w:val="auto"/>
                <w:w w:val="97"/>
              </w:rPr>
              <w:t>No</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December 2020</w:t>
            </w:r>
          </w:p>
        </w:tc>
      </w:tr>
      <w:tr>
        <w:trPr>
          <w:trHeight w:val="145"/>
        </w:trPr>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6"/>
        </w:trPr>
        <w:tc>
          <w:tcPr>
            <w:tcW w:w="28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105% average BCI 5TC</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March 2021</w:t>
            </w:r>
          </w:p>
        </w:tc>
      </w:tr>
      <w:tr>
        <w:trPr>
          <w:trHeight w:val="185"/>
        </w:trPr>
        <w:tc>
          <w:tcPr>
            <w:tcW w:w="28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6"/>
        </w:trPr>
        <w:tc>
          <w:tcPr>
            <w:tcW w:w="2800" w:type="dxa"/>
            <w:vAlign w:val="bottom"/>
          </w:tcPr>
          <w:p>
            <w:pPr>
              <w:ind w:left="40"/>
              <w:spacing w:after="0"/>
              <w:rPr>
                <w:sz w:val="20"/>
                <w:szCs w:val="20"/>
                <w:color w:val="auto"/>
              </w:rPr>
            </w:pPr>
            <w:r>
              <w:rPr>
                <w:rFonts w:ascii="Arial" w:cs="Arial" w:eastAsia="Arial" w:hAnsi="Arial"/>
                <w:sz w:val="16"/>
                <w:szCs w:val="16"/>
                <w:color w:val="auto"/>
              </w:rPr>
              <w:t>Navios Joy</w:t>
            </w:r>
          </w:p>
        </w:tc>
        <w:tc>
          <w:tcPr>
            <w:tcW w:w="2240" w:type="dxa"/>
            <w:vAlign w:val="bottom"/>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2013</w:t>
            </w:r>
          </w:p>
        </w:tc>
        <w:tc>
          <w:tcPr>
            <w:tcW w:w="700" w:type="dxa"/>
            <w:vAlign w:val="bottom"/>
          </w:tcPr>
          <w:p>
            <w:pPr>
              <w:jc w:val="right"/>
              <w:spacing w:after="0"/>
              <w:rPr>
                <w:sz w:val="20"/>
                <w:szCs w:val="20"/>
                <w:color w:val="auto"/>
              </w:rPr>
            </w:pPr>
            <w:r>
              <w:rPr>
                <w:rFonts w:ascii="Arial" w:cs="Arial" w:eastAsia="Arial" w:hAnsi="Arial"/>
                <w:sz w:val="16"/>
                <w:szCs w:val="16"/>
                <w:color w:val="auto"/>
              </w:rPr>
              <w:t>181,389</w:t>
            </w:r>
          </w:p>
        </w:tc>
        <w:tc>
          <w:tcPr>
            <w:tcW w:w="920" w:type="dxa"/>
            <w:vAlign w:val="bottom"/>
          </w:tcPr>
          <w:p>
            <w:pPr>
              <w:ind w:left="60"/>
              <w:spacing w:after="0"/>
              <w:rPr>
                <w:sz w:val="20"/>
                <w:szCs w:val="20"/>
                <w:color w:val="auto"/>
              </w:rPr>
            </w:pPr>
            <w:r>
              <w:rPr>
                <w:rFonts w:ascii="Arial" w:cs="Arial" w:eastAsia="Arial" w:hAnsi="Arial"/>
                <w:sz w:val="16"/>
                <w:szCs w:val="16"/>
                <w:color w:val="auto"/>
              </w:rPr>
              <w:t>$ —</w:t>
            </w:r>
          </w:p>
        </w:tc>
        <w:tc>
          <w:tcPr>
            <w:tcW w:w="2340" w:type="dxa"/>
            <w:vAlign w:val="bottom"/>
          </w:tcPr>
          <w:p>
            <w:pPr>
              <w:ind w:left="300"/>
              <w:spacing w:after="0"/>
              <w:rPr>
                <w:sz w:val="20"/>
                <w:szCs w:val="20"/>
                <w:color w:val="auto"/>
              </w:rPr>
            </w:pPr>
            <w:r>
              <w:rPr>
                <w:rFonts w:ascii="Arial" w:cs="Arial" w:eastAsia="Arial" w:hAnsi="Arial"/>
                <w:sz w:val="16"/>
                <w:szCs w:val="16"/>
                <w:color w:val="auto"/>
              </w:rPr>
              <w:t>113% average BCI 5TC</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March 2021</w:t>
            </w:r>
          </w:p>
        </w:tc>
      </w:tr>
      <w:tr>
        <w:trPr>
          <w:trHeight w:val="145"/>
        </w:trPr>
        <w:tc>
          <w:tcPr>
            <w:tcW w:w="2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Navios Mars</w:t>
            </w:r>
          </w:p>
        </w:tc>
        <w:tc>
          <w:tcPr>
            <w:tcW w:w="22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Capesize</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181,259</w:t>
            </w:r>
          </w:p>
        </w:tc>
        <w:tc>
          <w:tcPr>
            <w:tcW w:w="920" w:type="dxa"/>
            <w:vAlign w:val="bottom"/>
            <w:shd w:val="clear" w:color="auto" w:fill="CCEEFF"/>
          </w:tcPr>
          <w:p>
            <w:pPr>
              <w:ind w:left="60"/>
              <w:spacing w:after="0"/>
              <w:rPr>
                <w:sz w:val="20"/>
                <w:szCs w:val="20"/>
                <w:color w:val="auto"/>
              </w:rPr>
            </w:pPr>
            <w:r>
              <w:rPr>
                <w:rFonts w:ascii="Arial" w:cs="Arial" w:eastAsia="Arial" w:hAnsi="Arial"/>
                <w:sz w:val="16"/>
                <w:szCs w:val="16"/>
                <w:color w:val="auto"/>
              </w:rPr>
              <w:t>$ 22,610</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7"/>
              </w:rPr>
              <w:t>No</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February 2022</w:t>
            </w:r>
          </w:p>
        </w:tc>
      </w:tr>
      <w:tr>
        <w:trPr>
          <w:trHeight w:val="145"/>
        </w:trPr>
        <w:tc>
          <w:tcPr>
            <w:tcW w:w="2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Bareboat Chartered-in vessel</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Type</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Built</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Charter-Out</w:t>
            </w: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Index</w:t>
            </w:r>
            <w:r>
              <w:rPr>
                <w:rFonts w:ascii="Arial" w:cs="Arial" w:eastAsia="Arial" w:hAnsi="Arial"/>
                <w:sz w:val="20"/>
                <w:szCs w:val="20"/>
                <w:color w:val="auto"/>
                <w:w w:val="90"/>
                <w:vertAlign w:val="superscript"/>
              </w:rPr>
              <w:t>(2)</w:t>
            </w: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82"/>
        </w:trPr>
        <w:tc>
          <w:tcPr>
            <w:tcW w:w="2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w:t>
            </w:r>
          </w:p>
        </w:tc>
        <w:tc>
          <w:tcPr>
            <w:tcW w:w="160" w:type="dxa"/>
            <w:vAlign w:val="bottom"/>
          </w:tcPr>
          <w:p>
            <w:pPr>
              <w:spacing w:after="0"/>
              <w:rPr>
                <w:sz w:val="15"/>
                <w:szCs w:val="15"/>
                <w:color w:val="auto"/>
              </w:rPr>
            </w:pPr>
          </w:p>
        </w:tc>
        <w:tc>
          <w:tcPr>
            <w:tcW w:w="1380" w:type="dxa"/>
            <w:vAlign w:val="bottom"/>
            <w:gridSpan w:val="2"/>
          </w:tcPr>
          <w:p>
            <w:pPr>
              <w:jc w:val="center"/>
              <w:ind w:right="480"/>
              <w:spacing w:after="0" w:line="162" w:lineRule="exact"/>
              <w:rPr>
                <w:sz w:val="20"/>
                <w:szCs w:val="20"/>
                <w:color w:val="auto"/>
              </w:rPr>
            </w:pPr>
            <w:r>
              <w:rPr>
                <w:rFonts w:ascii="Arial" w:cs="Arial" w:eastAsia="Arial" w:hAnsi="Arial"/>
                <w:sz w:val="13"/>
                <w:szCs w:val="13"/>
                <w:b w:val="1"/>
                <w:bCs w:val="1"/>
                <w:color w:val="auto"/>
                <w:w w:val="97"/>
              </w:rPr>
              <w:t>Rate</w:t>
            </w:r>
            <w:r>
              <w:rPr>
                <w:rFonts w:ascii="Arial" w:cs="Arial" w:eastAsia="Arial" w:hAnsi="Arial"/>
                <w:sz w:val="18"/>
                <w:szCs w:val="18"/>
                <w:color w:val="auto"/>
                <w:w w:val="97"/>
                <w:vertAlign w:val="superscript"/>
              </w:rPr>
              <w:t>(1)</w:t>
            </w:r>
          </w:p>
        </w:tc>
        <w:tc>
          <w:tcPr>
            <w:tcW w:w="2000" w:type="dxa"/>
            <w:vAlign w:val="bottom"/>
            <w:gridSpan w:val="2"/>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Navios Libra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Panamax</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2019</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82,011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125% average BPI 4TC</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87"/>
              </w:rPr>
              <w:t>September 2021</w:t>
            </w: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902" w:orient="portrait"/>
          <w:cols w:equalWidth="0" w:num="1">
            <w:col w:w="11240"/>
          </w:cols>
          <w:pgMar w:left="320" w:top="306" w:right="339" w:bottom="0" w:gutter="0" w:footer="0" w:header="0"/>
        </w:sectPr>
      </w:pPr>
    </w:p>
    <w:p>
      <w:pPr>
        <w:spacing w:after="0" w:line="14"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Bareboat Chartered-in vessels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Navios TBN1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Navios TBN2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Type</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Built</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Charter-Out</w:t>
            </w: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Index</w:t>
            </w:r>
            <w:r>
              <w:rPr>
                <w:rFonts w:ascii="Arial" w:cs="Arial" w:eastAsia="Arial" w:hAnsi="Arial"/>
                <w:sz w:val="20"/>
                <w:szCs w:val="20"/>
                <w:color w:val="auto"/>
                <w:w w:val="90"/>
                <w:vertAlign w:val="superscript"/>
              </w:rPr>
              <w:t>(2)</w:t>
            </w: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20"/>
                <w:szCs w:val="20"/>
                <w:color w:val="auto"/>
                <w:vertAlign w:val="superscript"/>
              </w:rPr>
              <w:t>(3)(4)</w:t>
            </w:r>
          </w:p>
        </w:tc>
        <w:tc>
          <w:tcPr>
            <w:tcW w:w="0" w:type="dxa"/>
            <w:vAlign w:val="bottom"/>
          </w:tcPr>
          <w:p>
            <w:pPr>
              <w:spacing w:after="0"/>
              <w:rPr>
                <w:sz w:val="1"/>
                <w:szCs w:val="1"/>
                <w:color w:val="auto"/>
              </w:rPr>
            </w:pPr>
          </w:p>
        </w:tc>
      </w:tr>
      <w:tr>
        <w:trPr>
          <w:trHeight w:val="176"/>
        </w:trPr>
        <w:tc>
          <w:tcPr>
            <w:tcW w:w="134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480"/>
              <w:spacing w:after="0" w:line="176" w:lineRule="exact"/>
              <w:rPr>
                <w:sz w:val="20"/>
                <w:szCs w:val="20"/>
                <w:color w:val="auto"/>
              </w:rPr>
            </w:pPr>
            <w:r>
              <w:rPr>
                <w:rFonts w:ascii="Arial" w:cs="Arial" w:eastAsia="Arial" w:hAnsi="Arial"/>
                <w:sz w:val="14"/>
                <w:szCs w:val="14"/>
                <w:b w:val="1"/>
                <w:bCs w:val="1"/>
                <w:color w:val="auto"/>
                <w:w w:val="89"/>
              </w:rPr>
              <w:t>Rate</w:t>
            </w:r>
            <w:r>
              <w:rPr>
                <w:rFonts w:ascii="Arial" w:cs="Arial" w:eastAsia="Arial" w:hAnsi="Arial"/>
                <w:sz w:val="20"/>
                <w:szCs w:val="20"/>
                <w:color w:val="auto"/>
                <w:w w:val="89"/>
                <w:vertAlign w:val="superscript"/>
              </w:rPr>
              <w:t>(1)</w:t>
            </w:r>
          </w:p>
        </w:tc>
        <w:tc>
          <w:tcPr>
            <w:tcW w:w="200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Panamax</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ind w:left="80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110% average BPI 4TC</w:t>
            </w:r>
          </w:p>
        </w:tc>
        <w:tc>
          <w:tcPr>
            <w:tcW w:w="100" w:type="dxa"/>
            <w:vAlign w:val="bottom"/>
          </w:tcPr>
          <w:p>
            <w:pPr>
              <w:spacing w:after="0"/>
              <w:rPr>
                <w:sz w:val="16"/>
                <w:szCs w:val="16"/>
                <w:color w:val="auto"/>
              </w:rPr>
            </w:pPr>
          </w:p>
        </w:tc>
        <w:tc>
          <w:tcPr>
            <w:tcW w:w="184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w w:val="91"/>
              </w:rPr>
              <w:t>May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Panamax</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81,000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110% average BPI 4TC</w:t>
            </w:r>
          </w:p>
        </w:tc>
        <w:tc>
          <w:tcPr>
            <w:tcW w:w="1860" w:type="dxa"/>
            <w:vAlign w:val="bottom"/>
            <w:gridSpan w:val="2"/>
          </w:tcPr>
          <w:p>
            <w:pPr>
              <w:ind w:left="1100"/>
              <w:spacing w:after="0"/>
              <w:rPr>
                <w:sz w:val="20"/>
                <w:szCs w:val="20"/>
                <w:color w:val="auto"/>
              </w:rPr>
            </w:pPr>
            <w:r>
              <w:rPr>
                <w:rFonts w:ascii="Arial" w:cs="Arial" w:eastAsia="Arial" w:hAnsi="Arial"/>
                <w:sz w:val="18"/>
                <w:szCs w:val="18"/>
                <w:color w:val="auto"/>
                <w:w w:val="87"/>
              </w:rPr>
              <w:t>June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-281940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3" w:lineRule="exact"/>
        <w:rPr>
          <w:sz w:val="20"/>
          <w:szCs w:val="20"/>
          <w:color w:val="auto"/>
        </w:rPr>
      </w:pPr>
    </w:p>
    <w:p>
      <w:pPr>
        <w:sectPr>
          <w:pgSz w:w="11900" w:h="16902" w:orient="portrait"/>
          <w:cols w:equalWidth="0" w:num="2">
            <w:col w:w="2200" w:space="720"/>
            <w:col w:w="8320"/>
          </w:cols>
          <w:pgMar w:left="320" w:top="306" w:right="339" w:bottom="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Owned Containerships</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Charter-Out</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Type</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Built</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TEU</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720"/>
              <w:spacing w:after="0" w:line="169"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9"/>
                <w:szCs w:val="19"/>
                <w:color w:val="auto"/>
                <w:vertAlign w:val="superscript"/>
              </w:rPr>
              <w:t>(1)</w:t>
            </w:r>
          </w:p>
        </w:tc>
        <w:tc>
          <w:tcPr>
            <w:tcW w:w="2000" w:type="dxa"/>
            <w:vAlign w:val="bottom"/>
            <w:gridSpan w:val="2"/>
          </w:tcPr>
          <w:p>
            <w:pPr>
              <w:jc w:val="center"/>
              <w:ind w:right="80"/>
              <w:spacing w:after="0" w:line="169" w:lineRule="exact"/>
              <w:rPr>
                <w:sz w:val="20"/>
                <w:szCs w:val="20"/>
                <w:color w:val="auto"/>
              </w:rPr>
            </w:pPr>
            <w:r>
              <w:rPr>
                <w:rFonts w:ascii="Arial" w:cs="Arial" w:eastAsia="Arial" w:hAnsi="Arial"/>
                <w:sz w:val="14"/>
                <w:szCs w:val="14"/>
                <w:b w:val="1"/>
                <w:bCs w:val="1"/>
                <w:color w:val="auto"/>
                <w:w w:val="92"/>
              </w:rPr>
              <w:t>Index</w:t>
            </w:r>
            <w:r>
              <w:rPr>
                <w:rFonts w:ascii="Arial" w:cs="Arial" w:eastAsia="Arial" w:hAnsi="Arial"/>
                <w:sz w:val="19"/>
                <w:szCs w:val="19"/>
                <w:color w:val="auto"/>
                <w:w w:val="92"/>
                <w:vertAlign w:val="superscript"/>
              </w:rPr>
              <w:t>(2)</w:t>
            </w:r>
          </w:p>
        </w:tc>
        <w:tc>
          <w:tcPr>
            <w:tcW w:w="1840" w:type="dxa"/>
            <w:vAlign w:val="bottom"/>
          </w:tcPr>
          <w:p>
            <w:pPr>
              <w:jc w:val="right"/>
              <w:ind w:right="271"/>
              <w:spacing w:after="0" w:line="169" w:lineRule="exact"/>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7"/>
                <w:szCs w:val="17"/>
                <w:color w:val="auto"/>
              </w:rPr>
              <w:t>Hyundai Hongkong</w:t>
            </w:r>
            <w:r>
              <w:rPr>
                <w:rFonts w:ascii="Arial" w:cs="Arial" w:eastAsia="Arial" w:hAnsi="Arial"/>
                <w:sz w:val="23"/>
                <w:szCs w:val="23"/>
                <w:color w:val="auto"/>
                <w:vertAlign w:val="superscript"/>
              </w:rPr>
              <w:t>(5)</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Containership</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30,119</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December 2023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21,083</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December 2028</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line="216" w:lineRule="exact"/>
              <w:rPr>
                <w:sz w:val="20"/>
                <w:szCs w:val="20"/>
                <w:color w:val="auto"/>
              </w:rPr>
            </w:pPr>
            <w:r>
              <w:rPr>
                <w:rFonts w:ascii="Arial" w:cs="Arial" w:eastAsia="Arial" w:hAnsi="Arial"/>
                <w:sz w:val="18"/>
                <w:szCs w:val="18"/>
                <w:color w:val="auto"/>
              </w:rPr>
              <w:t>Hyundai Singapore</w:t>
            </w:r>
            <w:r>
              <w:rPr>
                <w:rFonts w:ascii="Arial" w:cs="Arial" w:eastAsia="Arial" w:hAnsi="Arial"/>
                <w:sz w:val="25"/>
                <w:szCs w:val="25"/>
                <w:color w:val="auto"/>
                <w:vertAlign w:val="superscript"/>
              </w:rPr>
              <w:t>(5)</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6,800</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30,119</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December 2023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21,083</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December 2028</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line="216" w:lineRule="exact"/>
              <w:rPr>
                <w:sz w:val="20"/>
                <w:szCs w:val="20"/>
                <w:color w:val="auto"/>
              </w:rPr>
            </w:pPr>
            <w:r>
              <w:rPr>
                <w:rFonts w:ascii="Arial" w:cs="Arial" w:eastAsia="Arial" w:hAnsi="Arial"/>
                <w:sz w:val="18"/>
                <w:szCs w:val="18"/>
                <w:color w:val="auto"/>
              </w:rPr>
              <w:t>Hyundai Tokyo</w:t>
            </w:r>
            <w:r>
              <w:rPr>
                <w:rFonts w:ascii="Arial" w:cs="Arial" w:eastAsia="Arial" w:hAnsi="Arial"/>
                <w:sz w:val="25"/>
                <w:szCs w:val="25"/>
                <w:color w:val="auto"/>
                <w:vertAlign w:val="superscript"/>
              </w:rPr>
              <w:t>(5)</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6,800</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30,119</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December 2023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21,083</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December 2028</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line="216" w:lineRule="exact"/>
              <w:rPr>
                <w:sz w:val="20"/>
                <w:szCs w:val="20"/>
                <w:color w:val="auto"/>
              </w:rPr>
            </w:pPr>
            <w:r>
              <w:rPr>
                <w:rFonts w:ascii="Arial" w:cs="Arial" w:eastAsia="Arial" w:hAnsi="Arial"/>
                <w:sz w:val="18"/>
                <w:szCs w:val="18"/>
                <w:color w:val="auto"/>
              </w:rPr>
              <w:t>Hyundai Shanghai</w:t>
            </w:r>
            <w:r>
              <w:rPr>
                <w:rFonts w:ascii="Arial" w:cs="Arial" w:eastAsia="Arial" w:hAnsi="Arial"/>
                <w:sz w:val="25"/>
                <w:szCs w:val="25"/>
                <w:color w:val="auto"/>
                <w:vertAlign w:val="superscript"/>
              </w:rPr>
              <w:t>(5)</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6,800</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30,119</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December 2023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21,083</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December 2028</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line="216" w:lineRule="exact"/>
              <w:rPr>
                <w:sz w:val="20"/>
                <w:szCs w:val="20"/>
                <w:color w:val="auto"/>
              </w:rPr>
            </w:pPr>
            <w:r>
              <w:rPr>
                <w:rFonts w:ascii="Arial" w:cs="Arial" w:eastAsia="Arial" w:hAnsi="Arial"/>
                <w:sz w:val="18"/>
                <w:szCs w:val="18"/>
                <w:color w:val="auto"/>
              </w:rPr>
              <w:t>Hyundai Busan</w:t>
            </w:r>
            <w:r>
              <w:rPr>
                <w:rFonts w:ascii="Arial" w:cs="Arial" w:eastAsia="Arial" w:hAnsi="Arial"/>
                <w:sz w:val="25"/>
                <w:szCs w:val="25"/>
                <w:color w:val="auto"/>
                <w:vertAlign w:val="superscript"/>
              </w:rPr>
              <w:t>(5)</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6,800</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30,119</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December 2023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21,083</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December 2028</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rPr>
                <w:sz w:val="20"/>
                <w:szCs w:val="20"/>
                <w:color w:val="auto"/>
              </w:rPr>
            </w:pPr>
            <w:r>
              <w:rPr>
                <w:rFonts w:ascii="Arial" w:cs="Arial" w:eastAsia="Arial" w:hAnsi="Arial"/>
                <w:sz w:val="18"/>
                <w:szCs w:val="18"/>
                <w:color w:val="auto"/>
              </w:rPr>
              <w:t>Esperanza N</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2008</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2,007</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6,172</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November 2020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Protostar N</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2007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2,741</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7,011</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December 2020</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rPr>
                <w:sz w:val="20"/>
                <w:szCs w:val="20"/>
                <w:color w:val="auto"/>
              </w:rPr>
            </w:pPr>
            <w:r>
              <w:rPr>
                <w:rFonts w:ascii="Arial" w:cs="Arial" w:eastAsia="Arial" w:hAnsi="Arial"/>
                <w:sz w:val="18"/>
                <w:szCs w:val="18"/>
                <w:color w:val="auto"/>
              </w:rPr>
              <w:t>Harmony N</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2,824</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8,181</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July 2021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Castor N</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2007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6,891</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0" w:type="dxa"/>
            <w:vAlign w:val="bottom"/>
          </w:tcPr>
          <w:p>
            <w:pPr>
              <w:spacing w:after="0"/>
              <w:rPr>
                <w:sz w:val="1"/>
                <w:szCs w:val="1"/>
                <w:color w:val="auto"/>
              </w:rPr>
            </w:pPr>
          </w:p>
        </w:tc>
      </w:tr>
      <w:tr>
        <w:trPr>
          <w:trHeight w:val="216"/>
        </w:trPr>
        <w:tc>
          <w:tcPr>
            <w:tcW w:w="2820" w:type="dxa"/>
            <w:vAlign w:val="bottom"/>
            <w:shd w:val="clear" w:color="auto" w:fill="CCECFF"/>
          </w:tcPr>
          <w:p>
            <w:pPr>
              <w:spacing w:after="0"/>
              <w:rPr>
                <w:sz w:val="20"/>
                <w:szCs w:val="20"/>
                <w:color w:val="auto"/>
              </w:rPr>
            </w:pPr>
            <w:r>
              <w:rPr>
                <w:rFonts w:ascii="Arial" w:cs="Arial" w:eastAsia="Arial" w:hAnsi="Arial"/>
                <w:sz w:val="18"/>
                <w:szCs w:val="18"/>
                <w:color w:val="auto"/>
              </w:rPr>
              <w:t>Solar N</w:t>
            </w:r>
          </w:p>
        </w:tc>
        <w:tc>
          <w:tcPr>
            <w:tcW w:w="10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Containership</w:t>
            </w:r>
          </w:p>
        </w:tc>
        <w:tc>
          <w:tcPr>
            <w:tcW w:w="7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3,398</w:t>
            </w:r>
          </w:p>
        </w:tc>
        <w:tc>
          <w:tcPr>
            <w:tcW w:w="260" w:type="dxa"/>
            <w:vAlign w:val="bottom"/>
            <w:gridSpan w:val="2"/>
            <w:shd w:val="clear" w:color="auto" w:fill="CCEC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8,531</w:t>
            </w:r>
          </w:p>
        </w:tc>
        <w:tc>
          <w:tcPr>
            <w:tcW w:w="200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5"/>
              </w:rPr>
              <w:t>No</w:t>
            </w:r>
          </w:p>
        </w:tc>
        <w:tc>
          <w:tcPr>
            <w:tcW w:w="1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September 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Daily charter-out rate per day, net of commissions.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Index rates exclude commissions.</w:t>
      </w:r>
    </w:p>
    <w:p>
      <w:pPr>
        <w:spacing w:after="0" w:line="252"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Charter expiration dates shown reflect expected redelivery date based on the midpoint of the full redelivery period in the charter agreement, unless otherwise noted and including Navios Partners’ extension options, not declared yet.</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to be delivered by the first half of 2021.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acquisition, the vessels are fixed on ten/twelve year charters with Navios Partners’ option to terminate after year seven.</w:t>
      </w:r>
    </w:p>
    <w:p>
      <w:pPr>
        <w:spacing w:after="0" w:line="252"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three years, at which time Navios Partners has an obligation to purchase the vessel.</w:t>
      </w:r>
    </w:p>
    <w:p>
      <w:pPr>
        <w:spacing w:after="0" w:line="197"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five years, at which time Navios Partners has an obligation to purchase the vessel.</w:t>
      </w:r>
    </w:p>
    <w:p>
      <w:pPr>
        <w:spacing w:after="0" w:line="197"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six years, at which time Navios Partners has an obligation to purchase the vessel.</w:t>
      </w:r>
    </w:p>
    <w:p>
      <w:pPr>
        <w:spacing w:after="0" w:line="197"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ten years, at which time Navios Partners has an obligation to purchase the vessel.</w:t>
      </w:r>
    </w:p>
    <w:p>
      <w:pPr>
        <w:spacing w:after="0" w:line="197"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vessel is subject to a sale and leaseback transaction for a period of up to eleven years, at which time Navios Partners has an obligation to purchase the vessel.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provide or will provide seaborne shipping services under long-term time charters with customers that we believe are creditworthy. For the six month period ended June 30, 2020, Hyundai Merchant Marine Co., Ltd. (“HMM”) represented approximately 29.0% of total revenues. For the six month period</w:t>
      </w:r>
    </w:p>
    <w:p>
      <w:pPr>
        <w:sectPr>
          <w:pgSz w:w="11900" w:h="16902" w:orient="portrait"/>
          <w:cols w:equalWidth="0" w:num="1">
            <w:col w:w="11240"/>
          </w:cols>
          <w:pgMar w:left="320" w:top="306" w:right="339" w:bottom="0" w:gutter="0" w:footer="0" w:header="0"/>
          <w:type w:val="continuous"/>
        </w:sectPr>
      </w:pPr>
    </w:p>
    <w:bookmarkStart w:id="4" w:name="page5"/>
    <w:bookmarkEnd w:id="4"/>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ended June 30, 2019, HMM, Cargill International S.A. (“Cargill”) and Swissmarine Asia Pte. Ltd. (“Swissmarine”) represented approximately 29.9%, 10.8% and 10.3%, respectively, of total revenues. No other customers accounted for 10% or more of total revenues for any of the periods presented.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revenues are driven by the number of vessels in the fleet, the number of days during which vessels operate and our charter hire rates, which, in turn, are affected by a number of factors, including:</w:t>
      </w:r>
    </w:p>
    <w:p>
      <w:pPr>
        <w:spacing w:after="0" w:line="76"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of the charters;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spot and long-term market rates at the time of charters;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relating to vessel acquisitions and disposals;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time spent positioning vessels;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time that vessels spend in dry dock undergoing repairs and upgrades;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age, condition and specifications of the vessels;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aggregate level of supply and demand in the dry cargo shipping industry.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Time charters are available for varying periods, ranging from a single trip (spot charter) to long-term which may be many years.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We intend to operate our vessels in the long-term charter market. Vessel charter rates are affected by world economics, international events, weather conditions, strikes, governmental policies, supply and demand and many other factors that might be beyond our control. Please read “Risk Factors” in our 2019 Annual Report on Form 20-F for a discussion of certain risks inherent in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could lose a customer or the benefits of a charter if:</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of the vessel;</w:t>
      </w:r>
    </w:p>
    <w:p>
      <w:pPr>
        <w:spacing w:after="0" w:line="130" w:lineRule="exact"/>
        <w:rPr>
          <w:rFonts w:ascii="Arial" w:cs="Arial" w:eastAsia="Arial" w:hAnsi="Arial"/>
          <w:sz w:val="18"/>
          <w:szCs w:val="18"/>
          <w:color w:val="auto"/>
        </w:rPr>
      </w:pPr>
    </w:p>
    <w:p>
      <w:pPr>
        <w:ind w:left="440" w:right="30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75" w:lineRule="exact"/>
        <w:rPr>
          <w:rFonts w:ascii="Arial" w:cs="Arial" w:eastAsia="Arial" w:hAnsi="Arial"/>
          <w:sz w:val="18"/>
          <w:szCs w:val="18"/>
          <w:color w:val="auto"/>
        </w:rPr>
      </w:pPr>
    </w:p>
    <w:p>
      <w:pPr>
        <w:ind w:left="440" w:right="2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some of our time charters, either party may terminate the charter contract in the event of war in specified countries or in locations that would significantly disrupt the free trade of the vessel. Some of the time charters covering our vessels require us to return to the charterer, upon the loss of the vessel, all advances paid by the charterer but not earned by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Affecting Our Future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Please read “Risk Factors” in our 2019 Annual Report on Form 20-F for a discussion of certain risks inherent in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Company’s Business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spread of the COVID-19 virus, which has been declared a pandemic by the World Health Organization, in 2020 has caused substantial disruptions in the global economy and the shipping industry, as well as significant volatility in the financial markets, the severity and duration of which remains uncertain.</w:t>
      </w:r>
    </w:p>
    <w:p>
      <w:pPr>
        <w:spacing w:after="0" w:line="184"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impact of the COVID-19 pandemic continues to unfold and may continue to have negative effect on our business, financial performance and the results of our operations, including due to decreased demand for global seaborne dry bulk and container trade and dry bulk and containership charter rates, the extent of which will depend largely on future developments. As a result, many of our estimates and assumptions required increased judgment and carry a higher degree of variability and volatility. As events continue to evolve and additional information becomes available, our estimates may change in future periods.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evaluated the impact of current economic situation on the recoverability of the carrying amount of our vessels. As of June 30, 2020, we concluded that events and circumstances triggered the existence of potential impairment of our vessels. These indicators included volatility in the charter market as well as the potential impact the current marketplace may have on our future operations.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we performed step one of the impairment assessment of our vessels by comparing the undiscounted projected net operating cash flows for each vessel to its carrying value. As of June 30, 2020, our assessment concluded that step two of the impairment analysis was required for three containerships held and used, as the undiscounted projected net operating cash flows did not exceed the carrying value. As a result, the Company recorded an impairment loss of $6.8 million for these vessels, being the difference between the fair value and the vessel’s carrying value together with the carrying value of deferred drydock and special survey costs related to the vessel presented under the caption “Vessels impairment loss” in the condensed Consolidated Statements of Operations (see Note 4 – Vessels,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condition and the results of operations presented for the three and six month periods ended June 30, 2020 and 2019 of Navios Partners presented and discussed below include the following entities: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20" w:type="dxa"/>
            <w:vAlign w:val="bottom"/>
          </w:tcPr>
          <w:p>
            <w:pPr>
              <w:spacing w:after="0"/>
              <w:rPr>
                <w:sz w:val="13"/>
                <w:szCs w:val="13"/>
                <w:color w:val="auto"/>
              </w:rPr>
            </w:pP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Vessel name</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Country of</w:t>
            </w:r>
          </w:p>
        </w:tc>
        <w:tc>
          <w:tcPr>
            <w:tcW w:w="13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3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5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incorporation</w:t>
            </w: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7"/>
                <w:szCs w:val="17"/>
                <w:color w:val="auto"/>
              </w:rPr>
              <w:t>Libra Shipping Enterprises Corporation</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Navios Libra II</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Marshall Is.</w:t>
            </w: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1/01 – 06/30</w:t>
            </w: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9"/>
              </w:rPr>
              <w:t>1/01 – 06/30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Alegria Shipping Corporation</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Alegria</w:t>
            </w:r>
          </w:p>
        </w:tc>
        <w:tc>
          <w:tcPr>
            <w:tcW w:w="1580" w:type="dxa"/>
            <w:vAlign w:val="bottom"/>
            <w:gridSpan w:val="2"/>
          </w:tcPr>
          <w:p>
            <w:pPr>
              <w:ind w:left="320"/>
              <w:spacing w:after="0"/>
              <w:rPr>
                <w:sz w:val="20"/>
                <w:szCs w:val="20"/>
                <w:color w:val="auto"/>
              </w:rPr>
            </w:pPr>
            <w:r>
              <w:rPr>
                <w:rFonts w:ascii="Arial" w:cs="Arial" w:eastAsia="Arial" w:hAnsi="Arial"/>
                <w:sz w:val="18"/>
                <w:szCs w:val="18"/>
                <w:color w:val="auto"/>
              </w:rPr>
              <w:t>Marshall Is.</w:t>
            </w: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1/01 – 06/30</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w w:val="99"/>
              </w:rPr>
              <w:t>1/01 – 06/30</w:t>
            </w:r>
          </w:p>
        </w:tc>
        <w:tc>
          <w:tcPr>
            <w:tcW w:w="0" w:type="dxa"/>
            <w:vAlign w:val="bottom"/>
          </w:tcPr>
          <w:p>
            <w:pPr>
              <w:spacing w:after="0"/>
              <w:rPr>
                <w:sz w:val="1"/>
                <w:szCs w:val="1"/>
                <w:color w:val="auto"/>
              </w:rPr>
            </w:pPr>
          </w:p>
        </w:tc>
      </w:tr>
      <w:tr>
        <w:trPr>
          <w:trHeight w:val="184"/>
        </w:trPr>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Felicity Shipping Corporation</w:t>
            </w:r>
            <w:r>
              <w:rPr>
                <w:rFonts w:ascii="Arial" w:cs="Arial" w:eastAsia="Arial" w:hAnsi="Arial"/>
                <w:sz w:val="25"/>
                <w:szCs w:val="25"/>
                <w:color w:val="auto"/>
                <w:vertAlign w:val="superscript"/>
              </w:rPr>
              <w:t>(2)</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4"/>
              </w:rPr>
              <w:t>Navios Felicity</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Gemini Shipping Corporation</w:t>
            </w:r>
            <w:r>
              <w:rPr>
                <w:rFonts w:ascii="Arial" w:cs="Arial" w:eastAsia="Arial" w:hAnsi="Arial"/>
                <w:sz w:val="25"/>
                <w:szCs w:val="25"/>
                <w:color w:val="auto"/>
                <w:vertAlign w:val="superscript"/>
              </w:rPr>
              <w:t>(3)</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2"/>
              </w:rPr>
              <w:t>Navios Gemini S</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Galaxy Shipping Corporation</w:t>
            </w:r>
            <w:r>
              <w:rPr>
                <w:rFonts w:ascii="Arial" w:cs="Arial" w:eastAsia="Arial" w:hAnsi="Arial"/>
                <w:sz w:val="25"/>
                <w:szCs w:val="25"/>
                <w:color w:val="auto"/>
                <w:vertAlign w:val="superscript"/>
              </w:rPr>
              <w:t>(4)</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3"/>
              </w:rPr>
              <w:t>Navios Galaxy I</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Aurora Shipping Enterprises Ltd.</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1"/>
              </w:rPr>
              <w:t>Navios Hope</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Palermo Shipping S.A.</w:t>
            </w:r>
            <w:r>
              <w:rPr>
                <w:rFonts w:ascii="Arial" w:cs="Arial" w:eastAsia="Arial" w:hAnsi="Arial"/>
                <w:sz w:val="25"/>
                <w:szCs w:val="25"/>
                <w:color w:val="auto"/>
                <w:vertAlign w:val="superscript"/>
              </w:rPr>
              <w:t>(5)</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4"/>
              </w:rPr>
              <w:t>Navios Apollon</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Fantastiks Shipping Corporation</w:t>
            </w:r>
            <w:r>
              <w:rPr>
                <w:rFonts w:ascii="Arial" w:cs="Arial" w:eastAsia="Arial" w:hAnsi="Arial"/>
                <w:sz w:val="25"/>
                <w:szCs w:val="25"/>
                <w:color w:val="auto"/>
                <w:vertAlign w:val="superscript"/>
              </w:rPr>
              <w:t>(12)</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0"/>
              </w:rPr>
              <w:t>Navios Fantastiks</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Sagittarius Shipping Corporation</w:t>
            </w:r>
            <w:r>
              <w:rPr>
                <w:rFonts w:ascii="Arial" w:cs="Arial" w:eastAsia="Arial" w:hAnsi="Arial"/>
                <w:sz w:val="25"/>
                <w:szCs w:val="25"/>
                <w:color w:val="auto"/>
                <w:vertAlign w:val="superscript"/>
              </w:rPr>
              <w:t>(12)</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0"/>
              </w:rPr>
              <w:t>Navios Sagittarius</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Hyperion Enterprises Inc.</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3"/>
              </w:rPr>
              <w:t>Navios Hyperion</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Chilali Corp.</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4"/>
              </w:rPr>
              <w:t>Navios Aurora II</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Surf Maritime Co.</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3"/>
              </w:rPr>
              <w:t>Navios Pollux</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Pandora Marine Inc.</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4"/>
              </w:rPr>
              <w:t>Navios Melodia</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Customized Development S.A.</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4"/>
              </w:rPr>
              <w:t>Navios Fulvia</w:t>
            </w:r>
          </w:p>
        </w:tc>
        <w:tc>
          <w:tcPr>
            <w:tcW w:w="1560" w:type="dxa"/>
            <w:vAlign w:val="bottom"/>
          </w:tcPr>
          <w:p>
            <w:pPr>
              <w:ind w:left="600"/>
              <w:spacing w:after="0"/>
              <w:rPr>
                <w:sz w:val="20"/>
                <w:szCs w:val="20"/>
                <w:color w:val="auto"/>
              </w:rPr>
            </w:pPr>
            <w:r>
              <w:rPr>
                <w:rFonts w:ascii="Arial" w:cs="Arial" w:eastAsia="Arial" w:hAnsi="Arial"/>
                <w:sz w:val="18"/>
                <w:szCs w:val="18"/>
                <w:color w:val="auto"/>
              </w:rPr>
              <w:t>Liberia</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Kohylia Shipmanagement S.A.</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4"/>
              </w:rPr>
              <w:t>Navios Luz</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Orbiter Shipping Corp.</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3"/>
              </w:rPr>
              <w:t>Navios Orbiter</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Floral Marine Ltd.</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Navios Buena Ventura</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Golem Navigation Limited</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4"/>
              </w:rPr>
              <w:t>Navios Soleil</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Kymata Shipping Co.</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2"/>
              </w:rPr>
              <w:t>Navios Helios</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Joy Shipping Corporation</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0"/>
              </w:rPr>
              <w:t>Navios Joy</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Micaela Shipping Corporation</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3"/>
              </w:rPr>
              <w:t>Navios Harmony</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Pearl Shipping Corporation</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1"/>
              </w:rPr>
              <w:t>Navios Sun</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Velvet Shipping Corporation</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Navios La Paix</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Perigiali Navigation Limited</w:t>
            </w:r>
            <w:r>
              <w:rPr>
                <w:rFonts w:ascii="Arial" w:cs="Arial" w:eastAsia="Arial" w:hAnsi="Arial"/>
                <w:sz w:val="25"/>
                <w:szCs w:val="25"/>
                <w:color w:val="auto"/>
                <w:vertAlign w:val="superscript"/>
              </w:rPr>
              <w:t>(12)</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2"/>
              </w:rPr>
              <w:t>Navios Beaufiks</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Finian Navigation Co.</w:t>
            </w:r>
            <w:r>
              <w:rPr>
                <w:rFonts w:ascii="Arial" w:cs="Arial" w:eastAsia="Arial" w:hAnsi="Arial"/>
                <w:sz w:val="25"/>
                <w:szCs w:val="25"/>
                <w:color w:val="auto"/>
                <w:vertAlign w:val="superscript"/>
              </w:rPr>
              <w:t>(12)</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2"/>
              </w:rPr>
              <w:t>Navios Ace</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Ammos Shipping Corp.</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2"/>
              </w:rPr>
              <w:t>Navios Prosperity I</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Wave Shipping Corp.</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Navios Libertas</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Casual Shipholding Co.</w:t>
            </w:r>
            <w:r>
              <w:rPr>
                <w:rFonts w:ascii="Arial" w:cs="Arial" w:eastAsia="Arial" w:hAnsi="Arial"/>
                <w:sz w:val="25"/>
                <w:szCs w:val="25"/>
                <w:color w:val="auto"/>
                <w:vertAlign w:val="superscript"/>
              </w:rPr>
              <w:t>(12)</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2"/>
              </w:rPr>
              <w:t>Navios Sol</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Avery Shipping Company</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2"/>
              </w:rPr>
              <w:t>Navios Symphony</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Coasters Ventures Ltd.</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3"/>
              </w:rPr>
              <w:t>Navios Christine B</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Ianthe Maritime S.A.</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2"/>
              </w:rPr>
              <w:t>Navios Aster</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Rubina Shipping Corporation</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2"/>
              </w:rPr>
              <w:t>Hyundai Hongkong</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Topaz Shipping Corporation</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1"/>
              </w:rPr>
              <w:t>Hyundai Singapore</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Beryl Shipping Corporation</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3"/>
              </w:rPr>
              <w:t>Hyundai Tokyo</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Cheryl Shipping Corporation</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1"/>
              </w:rPr>
              <w:t>Hyundai Shanghai</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Christal Shipping Corporation</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1"/>
              </w:rPr>
              <w:t>Hyundai Busan</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Dune Shipping Corp.</w:t>
            </w:r>
            <w:r>
              <w:rPr>
                <w:rFonts w:ascii="Arial" w:cs="Arial" w:eastAsia="Arial" w:hAnsi="Arial"/>
                <w:sz w:val="25"/>
                <w:szCs w:val="25"/>
                <w:color w:val="auto"/>
                <w:vertAlign w:val="superscript"/>
              </w:rPr>
              <w:t>(6)</w:t>
            </w:r>
          </w:p>
        </w:tc>
        <w:tc>
          <w:tcPr>
            <w:tcW w:w="31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4"/>
              </w:rPr>
              <w:t>MSC Cristina</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Citrine Shipping Corporation</w:t>
            </w:r>
          </w:p>
        </w:tc>
        <w:tc>
          <w:tcPr>
            <w:tcW w:w="3100" w:type="dxa"/>
            <w:vAlign w:val="bottom"/>
          </w:tcPr>
          <w:p>
            <w:pPr>
              <w:jc w:val="center"/>
              <w:ind w:left="750"/>
              <w:spacing w:after="0"/>
              <w:rPr>
                <w:sz w:val="20"/>
                <w:szCs w:val="20"/>
                <w:color w:val="auto"/>
              </w:rPr>
            </w:pPr>
            <w:r>
              <w:rPr>
                <w:rFonts w:ascii="Arial" w:cs="Arial" w:eastAsia="Arial" w:hAnsi="Arial"/>
                <w:sz w:val="18"/>
                <w:szCs w:val="18"/>
                <w:color w:val="auto"/>
                <w:w w:val="99"/>
              </w:rPr>
              <w:t>—</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Cavalli Navigation Inc.</w:t>
            </w:r>
          </w:p>
        </w:tc>
        <w:tc>
          <w:tcPr>
            <w:tcW w:w="31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Seymour Trading Limited</w:t>
            </w:r>
          </w:p>
        </w:tc>
        <w:tc>
          <w:tcPr>
            <w:tcW w:w="3100" w:type="dxa"/>
            <w:vAlign w:val="bottom"/>
          </w:tcPr>
          <w:p>
            <w:pPr>
              <w:jc w:val="center"/>
              <w:ind w:left="770"/>
              <w:spacing w:after="0"/>
              <w:rPr>
                <w:sz w:val="20"/>
                <w:szCs w:val="20"/>
                <w:color w:val="auto"/>
              </w:rPr>
            </w:pPr>
            <w:r>
              <w:rPr>
                <w:rFonts w:ascii="Arial" w:cs="Arial" w:eastAsia="Arial" w:hAnsi="Arial"/>
                <w:sz w:val="18"/>
                <w:szCs w:val="18"/>
                <w:color w:val="auto"/>
                <w:w w:val="97"/>
              </w:rPr>
              <w:t>Navios Altair I</w:t>
            </w:r>
          </w:p>
        </w:tc>
        <w:tc>
          <w:tcPr>
            <w:tcW w:w="1560" w:type="dxa"/>
            <w:vAlign w:val="bottom"/>
          </w:tcPr>
          <w:p>
            <w:pPr>
              <w:ind w:left="440"/>
              <w:spacing w:after="0"/>
              <w:rPr>
                <w:sz w:val="20"/>
                <w:szCs w:val="20"/>
                <w:color w:val="auto"/>
              </w:rPr>
            </w:pPr>
            <w:r>
              <w:rPr>
                <w:rFonts w:ascii="Arial" w:cs="Arial" w:eastAsia="Arial" w:hAnsi="Arial"/>
                <w:sz w:val="18"/>
                <w:szCs w:val="18"/>
                <w:color w:val="auto"/>
              </w:rPr>
              <w:t>Marshall Is.</w:t>
            </w:r>
          </w:p>
        </w:tc>
        <w:tc>
          <w:tcPr>
            <w:tcW w:w="1720" w:type="dxa"/>
            <w:vAlign w:val="bottom"/>
          </w:tcPr>
          <w:p>
            <w:pPr>
              <w:ind w:left="420"/>
              <w:spacing w:after="0"/>
              <w:rPr>
                <w:sz w:val="20"/>
                <w:szCs w:val="20"/>
                <w:color w:val="auto"/>
              </w:rPr>
            </w:pPr>
            <w:r>
              <w:rPr>
                <w:rFonts w:ascii="Arial" w:cs="Arial" w:eastAsia="Arial" w:hAnsi="Arial"/>
                <w:sz w:val="18"/>
                <w:szCs w:val="18"/>
                <w:color w:val="auto"/>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67"/>
        </w:trPr>
        <w:tc>
          <w:tcPr>
            <w:tcW w:w="344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Goldie Services Company</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Navios Symmetry</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Andromeda Shiptrade Limited</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95"/>
              </w:rPr>
              <w:t>Navios Apollon I</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Esmeralda Shipping Corporation</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Navios Sphera</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Triangle Shipping Corporation</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91"/>
              </w:rPr>
              <w:t>Navios Mars</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Oceanus Shipping Corporation</w:t>
            </w:r>
            <w:r>
              <w:rPr>
                <w:rFonts w:ascii="Arial" w:cs="Arial" w:eastAsia="Arial" w:hAnsi="Arial"/>
                <w:sz w:val="25"/>
                <w:szCs w:val="25"/>
                <w:color w:val="auto"/>
                <w:vertAlign w:val="superscript"/>
              </w:rPr>
              <w:t>(7)</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Castor N</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Cronus Shipping Corporation</w:t>
            </w:r>
            <w:r>
              <w:rPr>
                <w:rFonts w:ascii="Arial" w:cs="Arial" w:eastAsia="Arial" w:hAnsi="Arial"/>
                <w:sz w:val="25"/>
                <w:szCs w:val="25"/>
                <w:color w:val="auto"/>
                <w:vertAlign w:val="superscript"/>
              </w:rPr>
              <w:t>(7)</w:t>
            </w:r>
          </w:p>
        </w:tc>
        <w:tc>
          <w:tcPr>
            <w:tcW w:w="3100" w:type="dxa"/>
            <w:vAlign w:val="bottom"/>
          </w:tcPr>
          <w:p>
            <w:pPr>
              <w:jc w:val="center"/>
              <w:ind w:left="110"/>
              <w:spacing w:after="0"/>
              <w:rPr>
                <w:sz w:val="20"/>
                <w:szCs w:val="20"/>
                <w:color w:val="auto"/>
              </w:rPr>
            </w:pPr>
            <w:r>
              <w:rPr>
                <w:rFonts w:ascii="Arial" w:cs="Arial" w:eastAsia="Arial" w:hAnsi="Arial"/>
                <w:sz w:val="18"/>
                <w:szCs w:val="18"/>
                <w:color w:val="auto"/>
                <w:w w:val="90"/>
              </w:rPr>
              <w:t>Protostar N</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Leto Shipping Corporation</w:t>
            </w:r>
            <w:r>
              <w:rPr>
                <w:rFonts w:ascii="Arial" w:cs="Arial" w:eastAsia="Arial" w:hAnsi="Arial"/>
                <w:sz w:val="25"/>
                <w:szCs w:val="25"/>
                <w:color w:val="auto"/>
                <w:vertAlign w:val="superscript"/>
              </w:rPr>
              <w:t>(7)</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Esperanza N</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Dionysus Shipping Corporation</w:t>
            </w:r>
            <w:r>
              <w:rPr>
                <w:rFonts w:ascii="Arial" w:cs="Arial" w:eastAsia="Arial" w:hAnsi="Arial"/>
                <w:sz w:val="25"/>
                <w:szCs w:val="25"/>
                <w:color w:val="auto"/>
                <w:vertAlign w:val="superscript"/>
              </w:rPr>
              <w:t>(7)</w:t>
            </w:r>
          </w:p>
        </w:tc>
        <w:tc>
          <w:tcPr>
            <w:tcW w:w="3100" w:type="dxa"/>
            <w:vAlign w:val="bottom"/>
          </w:tcPr>
          <w:p>
            <w:pPr>
              <w:jc w:val="center"/>
              <w:ind w:left="110"/>
              <w:spacing w:after="0"/>
              <w:rPr>
                <w:sz w:val="20"/>
                <w:szCs w:val="20"/>
                <w:color w:val="auto"/>
              </w:rPr>
            </w:pPr>
            <w:r>
              <w:rPr>
                <w:rFonts w:ascii="Arial" w:cs="Arial" w:eastAsia="Arial" w:hAnsi="Arial"/>
                <w:sz w:val="18"/>
                <w:szCs w:val="18"/>
                <w:color w:val="auto"/>
                <w:w w:val="94"/>
              </w:rPr>
              <w:t>Harmony N</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Prometheus Shipping Corporation</w:t>
            </w:r>
            <w:r>
              <w:rPr>
                <w:rFonts w:ascii="Arial" w:cs="Arial" w:eastAsia="Arial" w:hAnsi="Arial"/>
                <w:sz w:val="25"/>
                <w:szCs w:val="25"/>
                <w:color w:val="auto"/>
                <w:vertAlign w:val="superscript"/>
              </w:rPr>
              <w:t>(7)</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Solar N</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Camelia Shipping Inc.</w:t>
            </w:r>
            <w:r>
              <w:rPr>
                <w:rFonts w:ascii="Arial" w:cs="Arial" w:eastAsia="Arial" w:hAnsi="Arial"/>
                <w:sz w:val="25"/>
                <w:szCs w:val="25"/>
                <w:color w:val="auto"/>
                <w:vertAlign w:val="superscript"/>
              </w:rPr>
              <w:t>(8)</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92"/>
              </w:rPr>
              <w:t>Navios Camelia</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Anthos Shipping Inc.</w:t>
            </w:r>
            <w:r>
              <w:rPr>
                <w:rFonts w:ascii="Arial" w:cs="Arial" w:eastAsia="Arial" w:hAnsi="Arial"/>
                <w:sz w:val="25"/>
                <w:szCs w:val="25"/>
                <w:color w:val="auto"/>
                <w:vertAlign w:val="superscript"/>
              </w:rPr>
              <w:t>(8)</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Navios Anthos</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Azalea Shipping Inc.</w:t>
            </w:r>
            <w:r>
              <w:rPr>
                <w:rFonts w:ascii="Arial" w:cs="Arial" w:eastAsia="Arial" w:hAnsi="Arial"/>
                <w:sz w:val="25"/>
                <w:szCs w:val="25"/>
                <w:color w:val="auto"/>
                <w:vertAlign w:val="superscript"/>
              </w:rPr>
              <w:t>(8)</w:t>
            </w:r>
          </w:p>
        </w:tc>
        <w:tc>
          <w:tcPr>
            <w:tcW w:w="3100" w:type="dxa"/>
            <w:vAlign w:val="bottom"/>
          </w:tcPr>
          <w:p>
            <w:pPr>
              <w:jc w:val="center"/>
              <w:ind w:left="110"/>
              <w:spacing w:after="0"/>
              <w:rPr>
                <w:sz w:val="20"/>
                <w:szCs w:val="20"/>
                <w:color w:val="auto"/>
              </w:rPr>
            </w:pPr>
            <w:r>
              <w:rPr>
                <w:rFonts w:ascii="Arial" w:cs="Arial" w:eastAsia="Arial" w:hAnsi="Arial"/>
                <w:sz w:val="18"/>
                <w:szCs w:val="18"/>
                <w:color w:val="auto"/>
                <w:w w:val="92"/>
              </w:rPr>
              <w:t>Navios Azalea</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Amaryllis Shipping Inc.</w:t>
            </w:r>
            <w:r>
              <w:rPr>
                <w:rFonts w:ascii="Arial" w:cs="Arial" w:eastAsia="Arial" w:hAnsi="Arial"/>
                <w:sz w:val="25"/>
                <w:szCs w:val="25"/>
                <w:color w:val="auto"/>
                <w:vertAlign w:val="superscript"/>
              </w:rPr>
              <w:t>(8)</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Navios Amaryllis</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Zaffre Shipping Corporation</w:t>
            </w:r>
            <w:r>
              <w:rPr>
                <w:rFonts w:ascii="Arial" w:cs="Arial" w:eastAsia="Arial" w:hAnsi="Arial"/>
                <w:sz w:val="25"/>
                <w:szCs w:val="25"/>
                <w:color w:val="auto"/>
                <w:vertAlign w:val="superscript"/>
              </w:rPr>
              <w:t>(13)</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89"/>
              </w:rPr>
              <w:t>Serenitas N</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06/29–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Wenge Shipping Corporation</w:t>
            </w:r>
            <w:r>
              <w:rPr>
                <w:rFonts w:ascii="Arial" w:cs="Arial" w:eastAsia="Arial" w:hAnsi="Arial"/>
                <w:sz w:val="25"/>
                <w:szCs w:val="25"/>
                <w:color w:val="auto"/>
                <w:vertAlign w:val="superscript"/>
              </w:rPr>
              <w:t>(13)</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Joie N</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06/29–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Sunstone Shipping Corporation</w:t>
            </w:r>
            <w:r>
              <w:rPr>
                <w:rFonts w:ascii="Arial" w:cs="Arial" w:eastAsia="Arial" w:hAnsi="Arial"/>
                <w:sz w:val="25"/>
                <w:szCs w:val="25"/>
                <w:color w:val="auto"/>
                <w:vertAlign w:val="superscript"/>
              </w:rPr>
              <w:t>(13)</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91"/>
              </w:rPr>
              <w:t>Copernicus N</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06/29–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Fandango Shipping Corporation</w:t>
            </w:r>
            <w:r>
              <w:rPr>
                <w:rFonts w:ascii="Arial" w:cs="Arial" w:eastAsia="Arial" w:hAnsi="Arial"/>
                <w:sz w:val="25"/>
                <w:szCs w:val="25"/>
                <w:color w:val="auto"/>
                <w:vertAlign w:val="superscript"/>
              </w:rPr>
              <w:t>(13)</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Unity N</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06/29–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332"/>
        </w:trPr>
        <w:tc>
          <w:tcPr>
            <w:tcW w:w="3440" w:type="dxa"/>
            <w:vAlign w:val="bottom"/>
          </w:tcPr>
          <w:p>
            <w:pPr>
              <w:spacing w:after="0"/>
              <w:rPr>
                <w:sz w:val="20"/>
                <w:szCs w:val="20"/>
                <w:color w:val="auto"/>
              </w:rPr>
            </w:pPr>
            <w:r>
              <w:rPr>
                <w:rFonts w:ascii="Arial" w:cs="Arial" w:eastAsia="Arial" w:hAnsi="Arial"/>
                <w:sz w:val="18"/>
                <w:szCs w:val="18"/>
                <w:color w:val="auto"/>
              </w:rPr>
              <w:t>Flavescent Shipping Corporation</w:t>
            </w:r>
            <w:r>
              <w:rPr>
                <w:rFonts w:ascii="Arial" w:cs="Arial" w:eastAsia="Arial" w:hAnsi="Arial"/>
                <w:sz w:val="25"/>
                <w:szCs w:val="25"/>
                <w:color w:val="auto"/>
                <w:vertAlign w:val="superscript"/>
              </w:rPr>
              <w:t>(13)</w:t>
            </w:r>
          </w:p>
        </w:tc>
        <w:tc>
          <w:tcPr>
            <w:tcW w:w="3100" w:type="dxa"/>
            <w:vAlign w:val="bottom"/>
          </w:tcPr>
          <w:p>
            <w:pPr>
              <w:jc w:val="center"/>
              <w:ind w:left="110"/>
              <w:spacing w:after="0"/>
              <w:rPr>
                <w:sz w:val="20"/>
                <w:szCs w:val="20"/>
                <w:color w:val="auto"/>
              </w:rPr>
            </w:pPr>
            <w:r>
              <w:rPr>
                <w:rFonts w:ascii="Arial" w:cs="Arial" w:eastAsia="Arial" w:hAnsi="Arial"/>
                <w:sz w:val="18"/>
                <w:szCs w:val="18"/>
                <w:color w:val="auto"/>
                <w:w w:val="87"/>
              </w:rPr>
              <w:t>Odysseus N</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06/29–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316"/>
        </w:trPr>
        <w:tc>
          <w:tcPr>
            <w:tcW w:w="3440" w:type="dxa"/>
            <w:vAlign w:val="bottom"/>
          </w:tcPr>
          <w:p>
            <w:pPr>
              <w:spacing w:after="0"/>
              <w:rPr>
                <w:sz w:val="20"/>
                <w:szCs w:val="20"/>
                <w:color w:val="auto"/>
              </w:rPr>
            </w:pPr>
            <w:r>
              <w:rPr>
                <w:rFonts w:ascii="Arial" w:cs="Arial" w:eastAsia="Arial" w:hAnsi="Arial"/>
                <w:sz w:val="18"/>
                <w:szCs w:val="18"/>
                <w:b w:val="1"/>
                <w:bCs w:val="1"/>
                <w:color w:val="auto"/>
              </w:rPr>
              <w:t>Bareboat Chartered-in vessels</w:t>
            </w:r>
          </w:p>
        </w:tc>
        <w:tc>
          <w:tcPr>
            <w:tcW w:w="3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Cavos Navigation Co.</w:t>
            </w:r>
            <w:r>
              <w:rPr>
                <w:rFonts w:ascii="Arial" w:cs="Arial" w:eastAsia="Arial" w:hAnsi="Arial"/>
                <w:sz w:val="25"/>
                <w:szCs w:val="25"/>
                <w:color w:val="auto"/>
                <w:vertAlign w:val="superscript"/>
              </w:rPr>
              <w:t>(9)</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Navios Libra</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Perivoia Shipmanagement Co.</w:t>
            </w:r>
            <w:r>
              <w:rPr>
                <w:rFonts w:ascii="Arial" w:cs="Arial" w:eastAsia="Arial" w:hAnsi="Arial"/>
                <w:sz w:val="25"/>
                <w:szCs w:val="25"/>
                <w:color w:val="auto"/>
                <w:vertAlign w:val="superscript"/>
              </w:rPr>
              <w:t>(10)</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94"/>
              </w:rPr>
              <w:t>Navios TBN1</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Pleione Management Limited</w:t>
            </w:r>
            <w:r>
              <w:rPr>
                <w:rFonts w:ascii="Arial" w:cs="Arial" w:eastAsia="Arial" w:hAnsi="Arial"/>
                <w:sz w:val="25"/>
                <w:szCs w:val="25"/>
                <w:color w:val="auto"/>
                <w:vertAlign w:val="superscript"/>
              </w:rPr>
              <w:t>(10)</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Navios TBN2</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Prosperity Shipping Corporation</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Aldebaran Shipping Corporation</w:t>
            </w:r>
          </w:p>
        </w:tc>
        <w:tc>
          <w:tcPr>
            <w:tcW w:w="310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JTC Shipping and Trading Ltd.</w:t>
            </w:r>
            <w:r>
              <w:rPr>
                <w:rFonts w:ascii="Arial" w:cs="Arial" w:eastAsia="Arial" w:hAnsi="Arial"/>
                <w:sz w:val="25"/>
                <w:szCs w:val="25"/>
                <w:color w:val="auto"/>
                <w:vertAlign w:val="superscript"/>
              </w:rPr>
              <w:t>(11)</w:t>
            </w:r>
          </w:p>
        </w:tc>
        <w:tc>
          <w:tcPr>
            <w:tcW w:w="3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Holding Company</w:t>
            </w: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Malta</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Navios Maritime Partners L.P.</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rPr>
              <w:t>N/A</w:t>
            </w:r>
          </w:p>
        </w:tc>
        <w:tc>
          <w:tcPr>
            <w:tcW w:w="1560" w:type="dxa"/>
            <w:vAlign w:val="bottom"/>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Navios Maritime Operating LLC.</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N/A</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Navios Partners Finance (US) Inc.</w:t>
            </w:r>
          </w:p>
        </w:tc>
        <w:tc>
          <w:tcPr>
            <w:tcW w:w="3100" w:type="dxa"/>
            <w:vAlign w:val="bottom"/>
          </w:tcPr>
          <w:p>
            <w:pPr>
              <w:jc w:val="center"/>
              <w:ind w:left="90"/>
              <w:spacing w:after="0"/>
              <w:rPr>
                <w:sz w:val="20"/>
                <w:szCs w:val="20"/>
                <w:color w:val="auto"/>
              </w:rPr>
            </w:pPr>
            <w:r>
              <w:rPr>
                <w:rFonts w:ascii="Arial" w:cs="Arial" w:eastAsia="Arial" w:hAnsi="Arial"/>
                <w:sz w:val="18"/>
                <w:szCs w:val="18"/>
                <w:color w:val="auto"/>
                <w:w w:val="94"/>
              </w:rPr>
              <w:t>Co-Borrower</w:t>
            </w:r>
          </w:p>
        </w:tc>
        <w:tc>
          <w:tcPr>
            <w:tcW w:w="1560" w:type="dxa"/>
            <w:vAlign w:val="bottom"/>
          </w:tcPr>
          <w:p>
            <w:pPr>
              <w:ind w:left="30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tcPr>
          <w:p>
            <w:pPr>
              <w:ind w:left="400"/>
              <w:spacing w:after="0"/>
              <w:rPr>
                <w:sz w:val="20"/>
                <w:szCs w:val="20"/>
                <w:color w:val="auto"/>
              </w:rPr>
            </w:pPr>
            <w:r>
              <w:rPr>
                <w:rFonts w:ascii="Arial" w:cs="Arial" w:eastAsia="Arial" w:hAnsi="Arial"/>
                <w:sz w:val="18"/>
                <w:szCs w:val="18"/>
                <w:color w:val="auto"/>
                <w:w w:val="99"/>
              </w:rPr>
              <w:t>1/01 – 06/30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Navios Partners Europe Finance Inc.</w:t>
            </w:r>
          </w:p>
        </w:tc>
        <w:tc>
          <w:tcPr>
            <w:tcW w:w="31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Sub-Holding Company</w:t>
            </w:r>
          </w:p>
        </w:tc>
        <w:tc>
          <w:tcPr>
            <w:tcW w:w="1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Marshall Is.</w:t>
            </w: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 – 06/30</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1/01 – 06/30</w:t>
            </w:r>
          </w:p>
        </w:tc>
      </w:tr>
    </w:tbl>
    <w:p>
      <w:pPr>
        <w:spacing w:after="0" w:line="200" w:lineRule="exact"/>
        <w:rPr>
          <w:sz w:val="20"/>
          <w:szCs w:val="20"/>
          <w:color w:val="auto"/>
        </w:rPr>
      </w:pPr>
    </w:p>
    <w:p>
      <w:pPr>
        <w:spacing w:after="0" w:line="32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vessel was sold on December 14, 2018.</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vessel was sold on December 4, 2018.</w:t>
      </w:r>
    </w:p>
    <w:p>
      <w:pPr>
        <w:sectPr>
          <w:pgSz w:w="11900" w:h="16838" w:orient="portrait"/>
          <w:cols w:equalWidth="0" w:num="1">
            <w:col w:w="11240"/>
          </w:cols>
          <w:pgMar w:left="320" w:top="68" w:right="339" w:bottom="0" w:gutter="0" w:footer="0" w:header="0"/>
        </w:sectPr>
      </w:pPr>
    </w:p>
    <w:bookmarkStart w:id="6" w:name="page7"/>
    <w:bookmarkEnd w:id="6"/>
    <w:p>
      <w:pPr>
        <w:spacing w:after="0"/>
        <w:tabs>
          <w:tab w:leader="none" w:pos="440" w:val="left"/>
        </w:tabs>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The vessel was sold on December 21, 2017.</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 was sold on April 23, 2019 (see Note 4 - Vessels, net).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 was sold on April 21, 2017.</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 was sold on January 12, 2017.</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vessels were acquired on December 13, 2019, following the liquidation of Navios Europe I (see Note 4 - Vessels, net).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vessels were acquired on December 16, 2019 (see Note 4 - Vessels, net).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 was delivered on July 24, 2019 (see Note 18 - Leases).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vessels are expected to be delivered by first half of 2021 (see Note 11 - Commitments and Contingencies).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Vessels under the sale and leaseback transaction (see Note 18 – Leases).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vessels were acquired on June 29, 2020, following the liquidation of Navios Europe II (see Note 4 – Vessels, net).</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interim condensed consolidated financial statements of Navios Partners are unaudited, but, in the opinion of management, contain all adjustments necessary to present a fair statement of results, in all material respects, of Navios Partners’ condensed consolidated financial position as of June 30, 2020 and the condensed Consolidated Results of Operations for the three and six month periods ended June 30, 2020 and 2019. The footnotes are condensed as permitted by the requirements for interim financial statements and, accordingly, do not include information and disclosures required under U.S. GAAP for complete financial statements. All such adjustments are deemed to be of a normal, recurring nature. The results of operations for the interim periods are not necessarily indicative of the results to be expected for the full year. These financial statements should be read in conjunction with the consolidated financial statements and related notes included in Navios Partners’ Annual Report on Form 20-F for the year ended December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 Employment Profile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reflects certain key indicators of Navios Partners’ core fleet performance for the three and six month periods ended June 30, 2020 and 2019.</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Three Month</w:t>
            </w:r>
          </w:p>
        </w:tc>
        <w:tc>
          <w:tcPr>
            <w:tcW w:w="1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Three Month</w:t>
            </w:r>
          </w:p>
        </w:tc>
        <w:tc>
          <w:tcPr>
            <w:tcW w:w="1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Six Month</w:t>
            </w: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Six Month</w:t>
            </w:r>
          </w:p>
        </w:tc>
      </w:tr>
      <w:tr>
        <w:trPr>
          <w:trHeight w:val="148"/>
        </w:trPr>
        <w:tc>
          <w:tcPr>
            <w:tcW w:w="4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Period Ended</w:t>
            </w:r>
          </w:p>
        </w:tc>
      </w:tr>
      <w:tr>
        <w:trPr>
          <w:trHeight w:val="149"/>
        </w:trPr>
        <w:tc>
          <w:tcPr>
            <w:tcW w:w="4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June 30, 2019</w:t>
            </w:r>
          </w:p>
        </w:tc>
      </w:tr>
      <w:tr>
        <w:trPr>
          <w:trHeight w:val="171"/>
        </w:trPr>
        <w:tc>
          <w:tcPr>
            <w:tcW w:w="4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45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Available Days</w:t>
            </w:r>
            <w:r>
              <w:rPr>
                <w:rFonts w:ascii="Arial" w:cs="Arial" w:eastAsia="Arial" w:hAnsi="Arial"/>
                <w:sz w:val="24"/>
                <w:szCs w:val="24"/>
                <w:color w:val="auto"/>
                <w:vertAlign w:val="superscript"/>
              </w:rPr>
              <w:t>(1)</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line="216" w:lineRule="exact"/>
              <w:rPr>
                <w:sz w:val="20"/>
                <w:szCs w:val="20"/>
                <w:color w:val="auto"/>
              </w:rPr>
            </w:pPr>
            <w:r>
              <w:rPr>
                <w:rFonts w:ascii="Arial" w:cs="Arial" w:eastAsia="Arial" w:hAnsi="Arial"/>
                <w:sz w:val="18"/>
                <w:szCs w:val="18"/>
                <w:color w:val="auto"/>
              </w:rPr>
              <w:t>Operating Days</w:t>
            </w:r>
            <w:r>
              <w:rPr>
                <w:rFonts w:ascii="Arial" w:cs="Arial" w:eastAsia="Arial" w:hAnsi="Arial"/>
                <w:sz w:val="25"/>
                <w:szCs w:val="25"/>
                <w:color w:val="auto"/>
                <w:vertAlign w:val="superscript"/>
              </w:rPr>
              <w:t>(2)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6,397</w:t>
            </w: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Fleet Utilization</w:t>
            </w:r>
            <w:r>
              <w:rPr>
                <w:rFonts w:ascii="Arial" w:cs="Arial" w:eastAsia="Arial" w:hAnsi="Arial"/>
                <w:sz w:val="25"/>
                <w:szCs w:val="25"/>
                <w:color w:val="auto"/>
                <w:vertAlign w:val="superscript"/>
              </w:rPr>
              <w:t>(3)</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98.71%</w:t>
            </w:r>
          </w:p>
        </w:tc>
      </w:tr>
      <w:tr>
        <w:trPr>
          <w:trHeight w:val="216"/>
        </w:trPr>
        <w:tc>
          <w:tcPr>
            <w:tcW w:w="4560" w:type="dxa"/>
            <w:vAlign w:val="bottom"/>
          </w:tcPr>
          <w:p>
            <w:pPr>
              <w:spacing w:after="0" w:line="216" w:lineRule="exact"/>
              <w:rPr>
                <w:sz w:val="20"/>
                <w:szCs w:val="20"/>
                <w:color w:val="auto"/>
              </w:rPr>
            </w:pPr>
            <w:r>
              <w:rPr>
                <w:rFonts w:ascii="Arial" w:cs="Arial" w:eastAsia="Arial" w:hAnsi="Arial"/>
                <w:sz w:val="18"/>
                <w:szCs w:val="18"/>
                <w:color w:val="auto"/>
              </w:rPr>
              <w:t>Time Charter Equivalent Combined (per day)</w:t>
            </w:r>
            <w:r>
              <w:rPr>
                <w:rFonts w:ascii="Arial" w:cs="Arial" w:eastAsia="Arial" w:hAnsi="Arial"/>
                <w:sz w:val="25"/>
                <w:szCs w:val="25"/>
                <w:color w:val="auto"/>
                <w:vertAlign w:val="superscript"/>
              </w:rPr>
              <w:t>(4)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14,130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10,957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13,664</w:t>
            </w: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Time Charter Equivalent Drybulk (per day)</w:t>
            </w:r>
            <w:r>
              <w:rPr>
                <w:rFonts w:ascii="Arial" w:cs="Arial" w:eastAsia="Arial" w:hAnsi="Arial"/>
                <w:sz w:val="25"/>
                <w:szCs w:val="25"/>
                <w:color w:val="auto"/>
                <w:vertAlign w:val="superscript"/>
              </w:rPr>
              <w:t>(4)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2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line="216" w:lineRule="exact"/>
              <w:rPr>
                <w:sz w:val="20"/>
                <w:szCs w:val="20"/>
                <w:color w:val="auto"/>
              </w:rPr>
            </w:pPr>
            <w:r>
              <w:rPr>
                <w:rFonts w:ascii="Arial" w:cs="Arial" w:eastAsia="Arial" w:hAnsi="Arial"/>
                <w:sz w:val="18"/>
                <w:szCs w:val="18"/>
                <w:color w:val="auto"/>
              </w:rPr>
              <w:t>Time Charter Equivalent Containers (per day)</w:t>
            </w:r>
            <w:r>
              <w:rPr>
                <w:rFonts w:ascii="Arial" w:cs="Arial" w:eastAsia="Arial" w:hAnsi="Arial"/>
                <w:sz w:val="25"/>
                <w:szCs w:val="25"/>
                <w:color w:val="auto"/>
                <w:vertAlign w:val="superscript"/>
              </w:rPr>
              <w:t>(4)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17,306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30,684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18,342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30,593</w:t>
            </w: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Vessels operating at end of periods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left="460" w:hanging="452"/>
        <w:spacing w:after="0" w:line="26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Available days: </w:t>
      </w:r>
      <w:r>
        <w:rPr>
          <w:rFonts w:ascii="Arial" w:cs="Arial" w:eastAsia="Arial" w:hAnsi="Arial"/>
          <w:sz w:val="18"/>
          <w:szCs w:val="18"/>
          <w:color w:val="auto"/>
        </w:rPr>
        <w:t>Available days for the fleet represent total calendar days the vessels were in Navios Partners’ possession for the relevant period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subtracting off-hire days associated with scheduled repairs, dry dockings or special surveys. The shipping industry uses available days to measure the number of days in a relevant period during which a vessel is capable of generating revenues.</w:t>
      </w:r>
    </w:p>
    <w:p>
      <w:pPr>
        <w:spacing w:after="0" w:line="21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days: </w:t>
      </w:r>
      <w:r>
        <w:rPr>
          <w:rFonts w:ascii="Arial" w:cs="Arial" w:eastAsia="Arial" w:hAnsi="Arial"/>
          <w:sz w:val="18"/>
          <w:szCs w:val="18"/>
          <w:color w:val="auto"/>
        </w:rPr>
        <w:t>Operating days are the number of available days in the relevant period less the aggregate number of days that the vessels are off-hire. Operating days include ballast days between voyages. The shipping industry uses operating days to measure the aggregate number of days in a relevant period during which vessels actually generate revenues.</w:t>
      </w:r>
    </w:p>
    <w:p>
      <w:pPr>
        <w:spacing w:after="0" w:line="210" w:lineRule="exact"/>
        <w:rPr>
          <w:rFonts w:ascii="Arial" w:cs="Arial" w:eastAsia="Arial" w:hAnsi="Arial"/>
          <w:sz w:val="18"/>
          <w:szCs w:val="18"/>
          <w:color w:val="auto"/>
        </w:rPr>
      </w:pPr>
    </w:p>
    <w:p>
      <w:pPr>
        <w:jc w:val="both"/>
        <w:ind w:left="4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utilization: </w:t>
      </w:r>
      <w:r>
        <w:rPr>
          <w:rFonts w:ascii="Arial" w:cs="Arial" w:eastAsia="Arial" w:hAnsi="Arial"/>
          <w:sz w:val="18"/>
          <w:szCs w:val="18"/>
          <w:color w:val="auto"/>
        </w:rPr>
        <w:t>Fleet utilization is the percentage of time that Navios Partners’ vessels were available for revenue generating available days,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dividing the number of operating days during a relevant period by the number of available days during that period. The shipping industry uses fleet utilization to measure efficiency in finding employment for vessels and minimizing the amount of days that its vessels are off-hire for reasons other than scheduled repairs, dry dockings or special surveys.</w:t>
      </w:r>
    </w:p>
    <w:p>
      <w:pPr>
        <w:spacing w:after="0" w:line="2" w:lineRule="exact"/>
        <w:rPr>
          <w:rFonts w:ascii="Arial" w:cs="Arial" w:eastAsia="Arial" w:hAnsi="Arial"/>
          <w:sz w:val="18"/>
          <w:szCs w:val="18"/>
          <w:color w:val="auto"/>
        </w:rPr>
      </w:pPr>
    </w:p>
    <w:p>
      <w:pPr>
        <w:jc w:val="both"/>
        <w:ind w:left="460" w:hanging="452"/>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TCE rate: </w:t>
      </w:r>
      <w:r>
        <w:rPr>
          <w:rFonts w:ascii="Arial" w:cs="Arial" w:eastAsia="Arial" w:hAnsi="Arial"/>
          <w:sz w:val="16"/>
          <w:szCs w:val="16"/>
          <w:color w:val="auto"/>
        </w:rPr>
        <w:t>Time Charter Equivalent rate per day (“TCE”) is defined as voyage and time charter revenues less voyage expenses during a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divided by the number of available days during the period. The TCE rate per day is a standard shipping industry performance measure used primarily to present the actual daily earnings generated by vessels on various types of charter contracts for the number of available days of the fleet.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consolidated revenue and expense information for the three and six month periods ended June 30, 2020 and 2019.</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Three Month</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Three Month</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Six Month</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Six Month</w:t>
            </w: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 2019</w:t>
            </w: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 ‘000)</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 ‘000)</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 ‘000)</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 ‘000)</w:t>
            </w:r>
          </w:p>
        </w:tc>
      </w:t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charter and voyage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(1,940)</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(6,013)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(3,113)</w:t>
            </w:r>
          </w:p>
        </w:tc>
      </w:tr>
    </w:tbl>
    <w:p>
      <w:pPr>
        <w:sectPr>
          <w:pgSz w:w="11900" w:h="16838" w:orient="portrait"/>
          <w:cols w:equalWidth="0" w:num="1">
            <w:col w:w="11240"/>
          </w:cols>
          <w:pgMar w:left="320" w:top="121" w:right="339" w:bottom="0" w:gutter="0" w:footer="0" w:header="0"/>
        </w:sectPr>
      </w:pPr>
    </w:p>
    <w:bookmarkStart w:id="7" w:name="page8"/>
    <w:bookmarkEnd w:id="7"/>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Vessel operating expenses (management fees)</w:t>
            </w:r>
          </w:p>
        </w:tc>
        <w:tc>
          <w:tcPr>
            <w:tcW w:w="16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(21,930)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(16,496)</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(44,135)</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(33,106)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(13,663)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(13,240)</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(27,300)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(26,732)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1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(6,900)</w:t>
            </w:r>
          </w:p>
        </w:tc>
        <w:tc>
          <w:tcPr>
            <w:tcW w:w="3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 net</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1,791</w:t>
            </w:r>
          </w:p>
        </w:tc>
        <w:tc>
          <w:tcPr>
            <w:tcW w:w="34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3,534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expense</w:t>
            </w:r>
          </w:p>
        </w:tc>
        <w:tc>
          <w:tcPr>
            <w:tcW w:w="16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(4,090)</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 earnings of affiliated companies</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r>
      <w:tr>
        <w:trPr>
          <w:trHeight w:val="446"/>
        </w:trPr>
        <w:tc>
          <w:tcPr>
            <w:tcW w:w="5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(14,641)</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(6,523)</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(25,365)</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(16,046)</w:t>
            </w:r>
          </w:p>
        </w:tc>
      </w:tr>
      <w:tr>
        <w:trPr>
          <w:trHeight w:val="229"/>
        </w:trPr>
        <w:tc>
          <w:tcPr>
            <w:tcW w:w="5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51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29"/>
                <w:szCs w:val="29"/>
                <w:b w:val="1"/>
                <w:bCs w:val="1"/>
                <w:color w:val="auto"/>
                <w:vertAlign w:val="superscript"/>
              </w:rPr>
              <w:t>(1)</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7,490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18,699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19,671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34,012</w:t>
            </w:r>
          </w:p>
        </w:tc>
      </w:tr>
      <w:tr>
        <w:trPr>
          <w:trHeight w:val="609"/>
        </w:trPr>
        <w:tc>
          <w:tcPr>
            <w:tcW w:w="510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9"/>
                <w:szCs w:val="29"/>
                <w:b w:val="1"/>
                <w:bCs w:val="1"/>
                <w:color w:val="auto"/>
                <w:vertAlign w:val="superscript"/>
              </w:rPr>
              <w:t>(1)</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14,290</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22,337</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33,371</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44,995</w:t>
            </w:r>
          </w:p>
        </w:tc>
      </w:tr>
      <w:tr>
        <w:trPr>
          <w:trHeight w:val="107"/>
        </w:trPr>
        <w:tc>
          <w:tcPr>
            <w:tcW w:w="5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6"/>
        </w:trPr>
        <w:tc>
          <w:tcPr>
            <w:tcW w:w="51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Operating (Deficit)/Surplus</w:t>
            </w:r>
            <w:r>
              <w:rPr>
                <w:rFonts w:ascii="Arial" w:cs="Arial" w:eastAsia="Arial" w:hAnsi="Arial"/>
                <w:sz w:val="29"/>
                <w:szCs w:val="29"/>
                <w:b w:val="1"/>
                <w:bCs w:val="1"/>
                <w:color w:val="auto"/>
                <w:vertAlign w:val="superscript"/>
              </w:rPr>
              <w:t>(1)</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6,207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3,303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11,909</w:t>
            </w:r>
          </w:p>
        </w:tc>
      </w:tr>
    </w:tbl>
    <w:p>
      <w:pPr>
        <w:spacing w:after="0" w:line="200" w:lineRule="exact"/>
        <w:rPr>
          <w:sz w:val="20"/>
          <w:szCs w:val="20"/>
          <w:color w:val="auto"/>
        </w:rPr>
      </w:pPr>
    </w:p>
    <w:p>
      <w:pPr>
        <w:spacing w:after="0" w:line="258" w:lineRule="exact"/>
        <w:rPr>
          <w:sz w:val="20"/>
          <w:szCs w:val="20"/>
          <w:color w:val="auto"/>
        </w:rPr>
      </w:pPr>
    </w:p>
    <w:p>
      <w:pPr>
        <w:jc w:val="both"/>
        <w:ind w:left="580" w:hanging="572"/>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Adjusted EBITDA and Operating (Deficit)/Surplus are non-GAAP financial measures. See “Reconciliation of EBITDA and Adjusted EBITDA to Net Cash from Operating Activities, EBITDA, Operating (Deficit)/Surplus and Available Cash for Distribution” for a description of EBITDA, Adjusted EBITDA and Operating Surplus and a reconciliation of EBITDA, Adjusted EBITDA and Operating Surplus to the most comparable measure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over Period Comparisons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For the Three Month Period ended June 30, 2020 compared to the Three Month Period ended June 30, 2019 Time charter and voyage revenues: </w:t>
      </w:r>
      <w:r>
        <w:rPr>
          <w:rFonts w:ascii="Arial" w:cs="Arial" w:eastAsia="Arial" w:hAnsi="Arial"/>
          <w:sz w:val="18"/>
          <w:szCs w:val="18"/>
          <w:color w:val="auto"/>
        </w:rPr>
        <w:t>Time charter and voyage revenues for the three month period ended June 30, 2020 decreased by $1.2 million, or 2.5%, to $46.5 million, as compared to $47.7 million for the same period in 2019. The decrease in time charter and voyage revenues was mainly attributable to the decrease in the time charter equivalent rate, or TCE rate, to $11,202 per day for the three month period ended June 30, 2020, from $14,130 per day for the three month period ended June 30, 2019. The available days of the fleet increased to 4,029 days for the three month period ended June 30, 2020, as compared to 3,203 days for the three month period ended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Time charter and voyage expenses: </w:t>
      </w:r>
      <w:r>
        <w:rPr>
          <w:rFonts w:ascii="Arial" w:cs="Arial" w:eastAsia="Arial" w:hAnsi="Arial"/>
          <w:sz w:val="16"/>
          <w:szCs w:val="16"/>
          <w:color w:val="auto"/>
        </w:rPr>
        <w:t>Time charter and voyage expenses for the three month period ended June 30, 2020 amounted to $1.9 million, as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compared to $2.5 million for the three month period ended June 30, 2019. The decrease was mainly attributable to a: (i) $0.5 million decrease in port expenses related to the freight voyages; and (ii) $0.8 million net decrease in other voyage expenses. The above decrease was partially mitigated by a: (i) $0.5 million bareboat charter-in hire expense; and (ii) $0.2 million increase in bunkers expenses.</w:t>
      </w:r>
    </w:p>
    <w:p>
      <w:pPr>
        <w:spacing w:after="0" w:line="11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Direct vessel expenses: </w:t>
      </w:r>
      <w:r>
        <w:rPr>
          <w:rFonts w:ascii="Arial" w:cs="Arial" w:eastAsia="Arial" w:hAnsi="Arial"/>
          <w:sz w:val="16"/>
          <w:szCs w:val="16"/>
          <w:color w:val="auto"/>
        </w:rPr>
        <w:t>Direct vessel expenses for the three month periods ended June 30, 2020 and 2019 amounted to $2.4 million and $1.5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The increase of $0.9 million was attributable to the increase in amortization of drydock and special survey costs of certain vessels in our fleet.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Vessel operating expenses (management fees): </w:t>
      </w:r>
      <w:r>
        <w:rPr>
          <w:rFonts w:ascii="Arial" w:cs="Arial" w:eastAsia="Arial" w:hAnsi="Arial"/>
          <w:sz w:val="18"/>
          <w:szCs w:val="18"/>
          <w:color w:val="auto"/>
        </w:rPr>
        <w:t>Vessel operating expenses for the three month period ended June 30, 2020, increased by $5.4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32.9%, to $21.9 million, as compared to $16.5 million for the same period in 2019. The increase was mainly attributable to a: (i) $4.9 million increase in management fees paid to our manager, Navios Shipmanagement Inc. (the “Manager”) due to the increased number of owned and bareboat chartered-in vessels in Navios Partners’ fleet; and (ii) $0.7 million increase in management fees due to the increase in daily rate pursuant to the management agreement (as defined herein). The increase was partially mitigated by a $0.1 million decrease in management fees due to the sale of the Navios Galaxy I in April 2019.</w:t>
      </w:r>
    </w:p>
    <w:p>
      <w:pPr>
        <w:spacing w:after="0" w:line="18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$0.5 million to $7.0 million for the three month period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2020, as compared to $6.5 million for the three month period ended June 30, 2019. The increase was mainly due to a $0.7 million increase in administrative fees paid to the Manager due to the increased number of owned and bareboat chartered-in vessels in Navios Partners’ fleet. The above increase was partially mitigated by a $0.2 million net decrease in legal and professional fees, as well as audit fees and other administrative expenses.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amounted to $13.7 million for the three month period ended June 30, 2020,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$13.2 million for the three month period ended June 30, 2019. The increase of $0.4 million was mainly attributable to a $1.1 million increase in depreciation expense due to the delivery of nine vessels in December 2019. The above increase was partially mitigated by a: (i) $0.1 million decrease in depreciation expense due to the sale of the Navios Galaxy I in April 2019; and (ii) $0.6 million decrease in depreciation expense of one of our vessels as a result of the impairment test performed in the fourth quarter of the fiscal year 2019. Depreciation of vessels is calculated using an estimated useful life of 25 and 30 years for drybulk vessels and containerships, respectively, from the date the vessel was originally delivered from the shipyard. Intangible assets are amortized over the contract periods, which range from one to twelve years, at inception.</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Vessels impairment loss: </w:t>
      </w:r>
      <w:r>
        <w:rPr>
          <w:rFonts w:ascii="Arial" w:cs="Arial" w:eastAsia="Arial" w:hAnsi="Arial"/>
          <w:sz w:val="16"/>
          <w:szCs w:val="16"/>
          <w:color w:val="auto"/>
        </w:rPr>
        <w:t>As of June 30, 2020, we concluded that events and circumstances triggered the existence of potential impairment of our vessels.</w:t>
      </w:r>
      <w:r>
        <w:rPr>
          <w:rFonts w:ascii="Arial" w:cs="Arial" w:eastAsia="Arial" w:hAnsi="Arial"/>
          <w:sz w:val="16"/>
          <w:szCs w:val="16"/>
          <w:b w:val="1"/>
          <w:bCs w:val="1"/>
          <w:color w:val="auto"/>
        </w:rPr>
        <w:t xml:space="preserve"> </w:t>
      </w:r>
      <w:r>
        <w:rPr>
          <w:rFonts w:ascii="Arial" w:cs="Arial" w:eastAsia="Arial" w:hAnsi="Arial"/>
          <w:sz w:val="16"/>
          <w:szCs w:val="16"/>
          <w:color w:val="auto"/>
        </w:rPr>
        <w:t>These indicators included volatility in the charter market as well as the potential impact the current marketplace may have on our future operations. As a result, Navios Partners recognized an impairment loss of $6.8 million related to three containerships, as the undiscounted projected net operating cash flows did not exceed the vessels’ carrying value. There was no impairment for the corresponding interim period of the previous year.</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Interest expense and finance cost, net: </w:t>
      </w:r>
      <w:r>
        <w:rPr>
          <w:rFonts w:ascii="Arial" w:cs="Arial" w:eastAsia="Arial" w:hAnsi="Arial"/>
          <w:sz w:val="16"/>
          <w:szCs w:val="16"/>
          <w:color w:val="auto"/>
        </w:rPr>
        <w:t>Interest expense and finance cost, net for the three month period ended June 30, 2020 decreased by $6.0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48.8% to $6.3 million, as compared to $12.2 million for the three month period ended June 30, 2019. The decrease was mainly due to: (i) a decrease of the weighted average interest rate for the three month period ended June 30, 2020 to 4.80% from 7.13% for the same period in 2019; (ii) a $1.5 million write-off of the deferred finance fees and debt discount following the $73.5 million prepayments of the Term Loan B Facility in the second quarter of 2019; and</w:t>
      </w:r>
    </w:p>
    <w:p>
      <w:pPr>
        <w:spacing w:after="0" w:line="2" w:lineRule="exact"/>
        <w:rPr>
          <w:sz w:val="20"/>
          <w:szCs w:val="20"/>
          <w:color w:val="auto"/>
        </w:rPr>
      </w:pPr>
    </w:p>
    <w:p>
      <w:pPr>
        <w:ind w:firstLine="8"/>
        <w:spacing w:after="0" w:line="260" w:lineRule="auto"/>
        <w:tabs>
          <w:tab w:leader="none" w:pos="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decrease in Navios Partners’ average loan balance to $471.3 million for the three month period ended June 30, 2020 as compared to $491.9 million for the same period of 2019.</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decreased by $1.6 million to $0.2 million for the three month period ended June 30, 2020, as compared to $1.8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 period ended June 30, 2019.</w:t>
      </w:r>
    </w:p>
    <w:p>
      <w:pPr>
        <w:sectPr>
          <w:pgSz w:w="11900" w:h="16941" w:orient="portrait"/>
          <w:cols w:equalWidth="0" w:num="1">
            <w:col w:w="11240"/>
          </w:cols>
          <w:pgMar w:left="320" w:top="125" w:right="339" w:bottom="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for the three month period ended June 30, 2020 amounted to $1.3 million, as compared to $0.4 million for the three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2019.</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for the three month period ended June 30, 2020 amounted to $2.0 million, as compared to $4.1 million for the three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2019.</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Equity in net (loss)/ earnings of affiliated companies: </w:t>
      </w:r>
      <w:r>
        <w:rPr>
          <w:rFonts w:ascii="Arial" w:cs="Arial" w:eastAsia="Arial" w:hAnsi="Arial"/>
          <w:sz w:val="18"/>
          <w:szCs w:val="18"/>
          <w:color w:val="auto"/>
        </w:rPr>
        <w:t>Equity in net loss of affiliated companies for the three month period ended June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$0.7 million as compared to $0.2 million earnings for the three month period ended June 30, 2019. The amounts consisted of the income/ (loss) related to the investment in Navios Maritime Containers L.P. (“Navios Containers”).</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three month period ended June 30, 2020 amounted to $14.6 million as compared to $6.5 million net loss for the three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2019. The increase in net loss of $8.1 million was due to the factors discussed above.</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Operating (deficit)/surplus: </w:t>
      </w:r>
      <w:r>
        <w:rPr>
          <w:rFonts w:ascii="Arial" w:cs="Arial" w:eastAsia="Arial" w:hAnsi="Arial"/>
          <w:sz w:val="17"/>
          <w:szCs w:val="17"/>
          <w:color w:val="auto"/>
        </w:rPr>
        <w:t>Navios Partners generated Operating Deficit for the three month period ended June 30, 2020 of $(1.1) million,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operating surplus $6.2 million for the three month period ended June 30, 2019. Operating Surplus is a non-GAAP financial measure used by certain investors to assist in evaluating a partnership’s ability to make quarterly cash distributions (See “Reconciliation of EBITDA and Adjusted EBITDA to Net Cash from Operating Activities, EBITDA, Operating Surplus and Available Cash for Distribution” contained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 Period ended June 30, 2020 compared to the Six Month Period ended June 30,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Time charter and voyage revenues: </w:t>
      </w:r>
      <w:r>
        <w:rPr>
          <w:rFonts w:ascii="Arial" w:cs="Arial" w:eastAsia="Arial" w:hAnsi="Arial"/>
          <w:sz w:val="17"/>
          <w:szCs w:val="17"/>
          <w:color w:val="auto"/>
        </w:rPr>
        <w:t>Time charter and voyage revenues for the six month period ended June 30, 2020 decreased by $1.5 million, or 1.6%,</w:t>
      </w:r>
      <w:r>
        <w:rPr>
          <w:rFonts w:ascii="Arial" w:cs="Arial" w:eastAsia="Arial" w:hAnsi="Arial"/>
          <w:sz w:val="17"/>
          <w:szCs w:val="17"/>
          <w:b w:val="1"/>
          <w:bCs w:val="1"/>
          <w:color w:val="auto"/>
        </w:rPr>
        <w:t xml:space="preserve"> </w:t>
      </w:r>
      <w:r>
        <w:rPr>
          <w:rFonts w:ascii="Arial" w:cs="Arial" w:eastAsia="Arial" w:hAnsi="Arial"/>
          <w:sz w:val="17"/>
          <w:szCs w:val="17"/>
          <w:color w:val="auto"/>
        </w:rPr>
        <w:t>to $93.0 million, as compared to $94.6 million for the same period in 2019. The decrease in time charter and voyage revenues was mainly attributable to the decrease in the TCE rate, to $10,957 per day for the six month period ended June 30, 2020, from $13,664 per day for the six month period ended June 30, 2019. The available days of the fleet increased to 8,126 days for the six month period ended June 30, 2020, as compared to 6,480 days for the six month period ended June 30, 2019, mainly due to the increase of the fleet.</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Time charter and voyage expenses: </w:t>
      </w:r>
      <w:r>
        <w:rPr>
          <w:rFonts w:ascii="Arial" w:cs="Arial" w:eastAsia="Arial" w:hAnsi="Arial"/>
          <w:sz w:val="18"/>
          <w:szCs w:val="18"/>
          <w:color w:val="auto"/>
        </w:rPr>
        <w:t>Time charter and voyage expenses for the six month period ended June 30, 2020 amounted to $5.0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$6.0 million for the six month period ended June 30, 2019. The decrease was mainly attributable to a: (i) $1.4 million decrease in bunkers expenses; and (ii) $0.6 million decrease in port expenses related to the freight voyages. The above decrease was partially mitigated by a $1.1 million bareboat charter-in hire expense.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Direct vessel expenses: </w:t>
      </w:r>
      <w:r>
        <w:rPr>
          <w:rFonts w:ascii="Arial" w:cs="Arial" w:eastAsia="Arial" w:hAnsi="Arial"/>
          <w:sz w:val="18"/>
          <w:szCs w:val="18"/>
          <w:color w:val="auto"/>
        </w:rPr>
        <w:t>Direct vessel expenses for the six month periods ended June 30, 2020 and 2019 amounted to $4.9 million and $3.1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increase in direct vessel expenses of $1.8 million was attributable to the increase in amortization of drydock and special survey costs of certain vessels in our fleet.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Vessel operating expenses (management fees): </w:t>
      </w:r>
      <w:r>
        <w:rPr>
          <w:rFonts w:ascii="Arial" w:cs="Arial" w:eastAsia="Arial" w:hAnsi="Arial"/>
          <w:sz w:val="17"/>
          <w:szCs w:val="17"/>
          <w:color w:val="auto"/>
        </w:rPr>
        <w:t>Vessel operating expenses for the six month period ended June 30, 2020, increased by $11.0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33.3%, to $44.1 million, as compared to $33.1 million for the same period in 2019. The increase was mainly attributable to a: (i) $9.8 million increase in management fees paid to the Manager due to the increased number of owned and bareboat chartered-in vessels in Navios Partners’ fleet; and (ii) $1.5 million increase in management fees due to the increase in daily rate pursuant to the management agreement (as defined herein). The increase was partially mitigated by a $0.5 million decrease in management fees due to the sale of the Navios Galaxy I in April 2019.</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$0.6 million to $11.1 million for the six month period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2020, as compared to $10.5 million for the six month period ended June 30, 2019. The increase was mainly due to a $1.3 million increase in administrative fees paid to the Manager due to the increased number of owned and bareboat chartered-in vessels in Navios Partners’ fleet. The above increase was partially mitigated by a: (i) $0.2 million net decrease in in compensation to the directors and/ or officers of the Company and equity compensation expense; and (ii) $0.5 million net decrease in legal and professional fees, as well as audit fees and other administrative expenses.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amounted to $27.3 million for the six month period ended June 30, 2020,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$26.7 million for the six month period ended June 30, 2019. The increase of $0.6 million was mainly attributable to a $2.1 million increase in depreciation expense due to the delivery of nine vessels in December 2019. The above increase was partially mitigated by a: (i) $0.4 million decrease in depreciation expense due to the sale of the Navios Galaxy I in April 2019; and (ii) $1.2 million decrease in depreciation expense of one of our vessels as a result of the impairment test performed in the fourth quarter of the fiscal year 2019. Depreciation of vessels is calculated using an estimated useful life of 25 and 30 years for drybulk vessels and containerships, respectively, from the date the vessel was originally delivered from the shipyard. Intangible assets are amortized over the contract periods, which range from one to twelve years, at inception.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Vessels impairment loss: </w:t>
      </w:r>
      <w:r>
        <w:rPr>
          <w:rFonts w:ascii="Arial" w:cs="Arial" w:eastAsia="Arial" w:hAnsi="Arial"/>
          <w:sz w:val="17"/>
          <w:szCs w:val="17"/>
          <w:color w:val="auto"/>
        </w:rPr>
        <w:t>As of June 30, 2020, Navios Partners recognized an impairment loss of $6.8 million related to three containerships,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undiscounted projected net operating cash flows did not exceed the vessels’ carrying value. As of March 31, 2019, the Company had a current expectation that, more likely than not, the Navios Galaxy I would be sold before the end of its previously estimated useful life, and as a result performed an impairment test of the specific asset group and recorded an impairment loss of $7.3 million. The vessel was sold on April 23, 2019.</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of receivable in affiliated company: </w:t>
      </w:r>
      <w:r>
        <w:rPr>
          <w:rFonts w:ascii="Arial" w:cs="Arial" w:eastAsia="Arial" w:hAnsi="Arial"/>
          <w:sz w:val="18"/>
          <w:szCs w:val="18"/>
          <w:color w:val="auto"/>
        </w:rPr>
        <w:t>Impairment of receivable in affiliated company for the six month period ended June 30, 2020 amounted</w:t>
      </w:r>
      <w:r>
        <w:rPr>
          <w:rFonts w:ascii="Arial" w:cs="Arial" w:eastAsia="Arial" w:hAnsi="Arial"/>
          <w:sz w:val="18"/>
          <w:szCs w:val="18"/>
          <w:b w:val="1"/>
          <w:bCs w:val="1"/>
          <w:color w:val="auto"/>
        </w:rPr>
        <w:t xml:space="preserve"> </w:t>
      </w:r>
      <w:r>
        <w:rPr>
          <w:rFonts w:ascii="Arial" w:cs="Arial" w:eastAsia="Arial" w:hAnsi="Arial"/>
          <w:sz w:val="18"/>
          <w:szCs w:val="18"/>
          <w:color w:val="auto"/>
        </w:rPr>
        <w:t>to $6.9 million, related to the other-than-temporary impairment recognized in the Navios Partners’ receivable from Navios Europe II. There was no impairment for the corresponding interim period of the previous year.</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Interest expense and finance cost, net: </w:t>
      </w:r>
      <w:r>
        <w:rPr>
          <w:rFonts w:ascii="Arial" w:cs="Arial" w:eastAsia="Arial" w:hAnsi="Arial"/>
          <w:sz w:val="16"/>
          <w:szCs w:val="16"/>
          <w:color w:val="auto"/>
        </w:rPr>
        <w:t>Interest expense and finance cost, net for the six month period ended June 30, 2020 decreased by $10.5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44.4% to $13.2 million, as compared to $23.8 million for the six month period ended June 30, 2019. The decrease was mainly due to: (i) a decrease of the weighted average interest rate for the six month period ended June 30, 2020 to 5.04% from 7.29% for the same period in 2019; (ii) a $1.5 million writte-off of the deferred finance fees and debt discount following the $73.5 million prepayments of the Term Loan B Facility in the second quarter of 2019; and</w:t>
      </w:r>
    </w:p>
    <w:p>
      <w:pPr>
        <w:spacing w:after="0" w:line="2" w:lineRule="exact"/>
        <w:rPr>
          <w:sz w:val="20"/>
          <w:szCs w:val="20"/>
          <w:color w:val="auto"/>
        </w:rPr>
      </w:pPr>
    </w:p>
    <w:p>
      <w:pPr>
        <w:ind w:firstLine="8"/>
        <w:spacing w:after="0" w:line="260"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in Navios Partners’ average loan balance to $477.8 million for the six month period ended June 30, 2020 as compared to $504.7 million for the same period of 2019.</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decreased by $3.2 million to $0.4 million for the six month period ended June 30, 2020, as compared to $3.5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 period ended June 30, 2019.</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for the six month period ended June 30, 2020 amounted to $2.2 million, as compared to $0.6 million for the six 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2019.</w:t>
      </w:r>
    </w:p>
    <w:p>
      <w:pPr>
        <w:sectPr>
          <w:pgSz w:w="11900" w:h="16838" w:orient="portrait"/>
          <w:cols w:equalWidth="0" w:num="1">
            <w:col w:w="11240"/>
          </w:cols>
          <w:pgMar w:left="320" w:top="121" w:right="339" w:bottom="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for the six month period ended June 30, 2020 amounted to $2.5 million, as compared to $4.3 million for the six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2019.</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Equity in net (loss)/ earnings of affiliated companies: </w:t>
      </w:r>
      <w:r>
        <w:rPr>
          <w:rFonts w:ascii="Arial" w:cs="Arial" w:eastAsia="Arial" w:hAnsi="Arial"/>
          <w:sz w:val="18"/>
          <w:szCs w:val="18"/>
          <w:color w:val="auto"/>
        </w:rPr>
        <w:t>Equity in net earnings of affiliated companies for the six month period ended June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$1.0 million as compared to $0.2 million for the six month period ended June 30, 2019. The amounts consisted of the income related to the investment in Navios Containers.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six month period ended June 30, 2020 amounted to $25.4 million as compared to $16.0 million net loss for the six 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2019. The increase in net loss of $9.3 million was due to the factors discussed above.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(deficit)/surplus: </w:t>
      </w:r>
      <w:r>
        <w:rPr>
          <w:rFonts w:ascii="Arial" w:cs="Arial" w:eastAsia="Arial" w:hAnsi="Arial"/>
          <w:sz w:val="18"/>
          <w:szCs w:val="18"/>
          <w:color w:val="auto"/>
        </w:rPr>
        <w:t>Navios Partners generated Operating Surplus for the six month period ended June 30, 2020 of $3.3 million,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$11.9 million for the six month period ended June 30, 2019. Operating Surplus is a non-GAAP financial measure used by certain investors to assist in evaluating a partnership’s ability to make quarterly cash distributions (See “Reconciliation of EBITDA and Adjusted EBITDA to Net Cash from Operating Activities, EBITDA, Operating Surplus and Available Cash for Distribution” contained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distributions on our units, our primary short-term liquidity needs are to fund general working capital requirements, cash reserve requirements including those under our credit facilities and debt service, while our long-term liquidity needs primarily relate to expansion and investment capital expenditures and other maintenance capital expenditures and debt repayment. Expansion capital expenditures are primarily for the purchase or construction of vessels to the extent the expenditures increase the operating capacity of or revenue generated by our fleet, while maintenance capital expenditures primarily consist of drydocking expenditures and expenditures to replace vessels in order to maintain the operating capacity of or revenue generated by our fleet. Investment capital expenditures are those capital expenditures that are neither maintenance capital expenditures nor expansion capital expenditures. We anticipate that our primary sources of funds for our short-term liquidity needs will be cash flows from our equity offerings, operations, proceeds from asset sales, long-term bank borrowings and other debt raisings. As of June 30, 2020, Navios Partners’ current assets totaled $67.6 million, while current liabilities totaled $141.2 million, resulting in a negative working capital position of $73.6 million. Navios Partners’ cash forecast indicates that it will generate sufficient cash to make the required principal and interest payments on its indebtedness, provide for the normal working capital requirements of the business and be in a positive working capital position through twelve months from August 3, 2020. Generally, our long-term sources of funds derive from cash from operations, long-term bank borrowings and other debt or equity financings to fund acquisitions and expansion and investment capital expenditures, including opportunities we may pursue under the Omnibus Agreement. We cannot assure you that we will be able to secure adequate financing or to obtain additional funds on favorable terms, to meet our liquidity needs.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deposits and cash equivalents in excess of amounts covered by government provided insurance are exposed to loss in the event of non-performance by financial institutions. Navios Partners does maintain cash deposits and equivalents in excess of government provided insurance limits. Navios Partners also minimizes exposure to credit risk by dealing with a diversified group of major financial institutions.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Navios Partners may use funds to repurchase its outstanding common units and/or indebtedness from time to time. Repurchases may be made in the open market, or through privately negotiated transactions or otherwise, in compliance with applicable laws, rules and regulations, at prices and on terms Navios Partners deems appropriate and subject to its cash requirements for other purposes, compliance with the covenants under Navios Partners’ credit facilities, and other factors management deems relevant.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2019, the Board of Directors of Navios Partners authorized a common unit repurchase program for up to $50.0 million of the Company’s common units over a two year period.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other factors. Repurchases may be made pursuant to a program adopted under Rule 10b5-1 under the Securities Exchange Act of 1934, as amended. The program does not require any minimum repurchase or any specific number of common units and may be suspended or reinstated at any time in the Company’s discretion and without notice. The Board of Directors will review the program periodically. Repurchases will be subject to restrictions under the Company’s credit facilities. As of August 3, 2020, the Company had repurchased and cancelled 312,952 common units, on a split adjusted basis, at a total cost of approximately $4.5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Navios Partners’ long-term borrowings are presented under the captions “Long-term financial liabilities, net”, “Long-term debt, net”, “Current portion of financial liabilities, net” and “Current portion of long-term debt, net”. As of June 30, 2020 and December 31, 2019, total borrowings, net of deferred finance fees amounted to $488.2 million and $489.0 million, respectively. The current portion of long-term borrowings, net amounted to $93.5 million at June 30, 2020 and $59.8 million at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2020, the Company had secured credit facilities with various banks with a total outstanding balance of $425.9 million. The purpose of the facilities was to finance the construction or acquisition of vessels or refinance existing indebtedness. All of the facilities are denominated in U.S. dollars and bear interest based on LIBOR plus spread ranging from 2.6% to 7.0% per annum. The facilities are repayable in either semi-annual or quarterly installments, followed by balloon payments with maturities, ranging from September 2020 to June 2025. See also the maturity table included below.</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26, 2020, the Company entered into a new credit facility with ABN Amro Bank N.V. of up to $32.2 million in order to finance the purchase of the five drybulk vessels acquired from Navios Europe II. The credit facility is repayable in four consecutive quarterly installments of $1.2 million, with a final balloon payment of $24.7 million to be repaid on the last repayment date. The facility matures in the second quarter of 2021 and bears interest at LIBOR plus 400 bps per annum up to December 31, 2020 and 425 bps per annum up to maturity date. As of June 30, 2020, the total outstanding balance was $29.5 million.</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25, 2020, the Company entered into a new credit facility with Hellenic Bank Public Company Limited for the refinancing of the existing ABN credit facility, relating to four of the containerships, of up to $17.0 million. The credit facility is repayable in four consecutive quarterly installments of $0.5 million and 10 consecutive quarterly installments of $0.7 million, with a final balloon payment of $8.3 million to be repaid on the last repayment date. The facility matures in the fourth quarter of 2023 and bears interest at LIBOR plus 350 bps per annum. As of June 30, 2020, the total outstanding balance was $17.0 million.</w:t>
      </w:r>
    </w:p>
    <w:p>
      <w:pPr>
        <w:sectPr>
          <w:pgSz w:w="11900" w:h="16838" w:orient="portrait"/>
          <w:cols w:equalWidth="0" w:num="1">
            <w:col w:w="11240"/>
          </w:cols>
          <w:pgMar w:left="320" w:top="121" w:right="339" w:bottom="3"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color w:val="auto"/>
        </w:rPr>
        <w:t>Amounts drawn under the credit facilities are secured by first preferred mortgages on certain Navios Partners’ vessels and other collateral and are guaranteed by the respective vessel-owning subsidiaries. The credit facilities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15.0%; and subordinating the obligations under the credit facilities to any general and administrative costs relating to the vessels, including the fixed daily fee payable under the management agreement.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facilities require compliance with a number of financial covenants, including: (i) maintain a required security amount ranging over 120% to 140%; (ii) minimum free consolidated liquidity in an amount equal to at least $0.5 million to $0.65 million per owned vessel; (iii) maintain a ratio of EBITDA to interest expense of at least 2.00:1.00; (iv) maintain a ratio of total liabilities or total debt to total assets (as defined in our credit facilities) of less than 0.75; and (v) maintain a minimum net worth to $135.0 million.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an event of default under the credit facilities if such covenants are not complied with in accordance with the terms and subject to the prepayments or cure provisions of the facilities.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Navios Partners was in compliance with the financial covenants and/or the prepayments and/or the cure provisions, as applicable, in each of its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2018, the Company entered into two sale and leaseback agreements of $25.0 million in total, with unrelated third parties for the Navios Fantastiks and the Navios Beaufiks. Navios Partners has a purchase obligation to acquire the vessels at the end of the lease term and under ASC 842-40, the transfer of the vessels was determined to be a failed sale. In accordance with ASC 842-40, the Company did not derecognize the respective vessels from its balance sheet and accounted for the amounts received under the sale and leaseback agreements as a financial liability. Navios Partners is obligated to make 69 and 60 consecutive monthly payments, respectively, of approximately $0.16 million each, commencing as of December 2018. As of June 30, 2020, the outstanding balance under the sale and leaseback agreements of the Navios Fantastiks and the Navios Beaufiks was $21.9 million in total. The agreements mature in the third quarter of 2024 and fourth quarter of 2023, respectively, with a purchase obligation of $6.3 million per vessel on the last repayment date.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5, 2019, the Company entered into a new sale and leaseback agreement of $20.0 million, with unrelated third parties for the Navios Sol, a 2009-built Capesize vessel of 180,274 dwt. Navios Partners has a purchase obligation to acquire the vessel at the end of the lease term and under ASC 842-40, the transfer of the vessel was determined to be a failed sale. On April 11, 2019, the amount of $20.0 million was drawn. Navios Partners is obligated to make 120 consecutive monthly payments of approximately $0.19 million each, commencing as of April 2019. As of June 30, 2020, the outstanding balance under the sale and leaseback agreement of the Navios Sol was $18.6 million. The agreement matures in the second quarter of 2029, with a purchase obligation of $6.3 million on the last repayment date.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7, 2019, the Company entered into a new sale and leaseback agreement of $7.5 million, with unrelated third parties for the Navios Sagittarius, a 2006-built Panamax vessel of 75,756 dwt. Navios Partners has a purchase obligation to acquire the vessel at the end of the lease term and under ASC 842-40, the transfer of the vessel was determined to be a failed sale. On June 28, 2019, the amount of $7.5 million was drawn. Navios Partners is obligated to make 36 consecutive monthly payments of approximately $0.18 million each, commencing as of June 2019. As of June 30, 2020, the outstanding balance under the sale and leaseback agreement of the Navios Sagittarius was $5.6 million. The agreement matures in the second quarter of 2022, with a purchase obligation of $2.0 million on the last repayment date.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 2019, the Company entered into a new sale and leaseback agreement of $22.0 million, with unrelated third parties for the Navios Ace, a 2011-built Capesize vessel of 179,016 dwt. Navios Partners has a purchase obligation to acquire the vessel at the end of the lease term and under ASC 842-40, the transfer of the vessel was determined to be a failed sale. The vessel was not derecognized and continues to be depreciated over its useful life and tested for impairment as per the Company’s policy. On July 24, 2019, the amount of $22.0 million was drawn. Navios Partners is obligated to make 132 consecutive monthly payments of approximately $0.2 million each, commencing as of July 2019. As of June 30, 2020, the outstanding balance under the sale and leaseback agreement of the Navios Ace was $20.9 million. The agreement matures in the third quarter of 2030, with a purchase obligation of $6.3 million on the last repayment date.</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maturity table below reflects the principal payments for the next five years and thereafter of all borrowings of Navios Partners outstanding as of June 30, 2020 based on the repayment schedules of the respective credit facilities and financial liabilities (as described above).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Amount</w:t>
            </w:r>
          </w:p>
        </w:tc>
      </w:tr>
      <w:tr>
        <w:trPr>
          <w:trHeight w:val="203"/>
        </w:trPr>
        <w:tc>
          <w:tcPr>
            <w:tcW w:w="9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95.6</w:t>
            </w:r>
          </w:p>
        </w:tc>
        <w:tc>
          <w:tcPr>
            <w:tcW w:w="360" w:type="dxa"/>
            <w:vAlign w:val="bottom"/>
            <w:tcBorders>
              <w:top w:val="single" w:sz="8" w:color="CCEEFF"/>
            </w:tcBorders>
            <w:shd w:val="clear" w:color="auto" w:fill="CCEEFF"/>
          </w:tcPr>
          <w:p>
            <w:pPr>
              <w:spacing w:after="0"/>
              <w:rPr>
                <w:sz w:val="17"/>
                <w:szCs w:val="17"/>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155.0</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63.5</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121.5</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w:t>
            </w:r>
          </w:p>
        </w:tc>
      </w:tr>
      <w:tr>
        <w:trPr>
          <w:trHeight w:val="445"/>
        </w:trPr>
        <w:tc>
          <w:tcPr>
            <w:tcW w:w="9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492.9</w:t>
            </w: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cash flow information derived from the unaudited condensed Consolidated Statements of Cash Flows of Navios Partners for the six month periods ended June 30, 2020 and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Six Month</w:t>
            </w:r>
          </w:p>
        </w:tc>
        <w:tc>
          <w:tcPr>
            <w:tcW w:w="2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Six Month</w:t>
            </w:r>
          </w:p>
        </w:tc>
      </w:tr>
      <w:tr>
        <w:trPr>
          <w:trHeight w:val="149"/>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8"/>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49"/>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562"/>
              <w:spacing w:after="0" w:line="149"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r>
      <w:tr>
        <w:trPr>
          <w:trHeight w:val="148"/>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 ‘000)</w:t>
            </w:r>
          </w:p>
        </w:tc>
        <w:tc>
          <w:tcPr>
            <w:tcW w:w="2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($‘000)</w:t>
            </w:r>
          </w:p>
        </w:tc>
      </w:tr>
      <w:tr>
        <w:trPr>
          <w:trHeight w:val="17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(39,664)</w:t>
            </w: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(1,636)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(39,025)</w:t>
            </w:r>
          </w:p>
        </w:tc>
      </w:tr>
    </w:tbl>
    <w:p>
      <w:pPr>
        <w:sectPr>
          <w:pgSz w:w="11900" w:h="16838" w:orient="portrait"/>
          <w:cols w:equalWidth="0" w:num="1">
            <w:col w:w="11240"/>
          </w:cols>
          <w:pgMar w:left="320" w:top="125" w:right="339" w:bottom="0" w:gutter="0" w:footer="0" w:header="0"/>
        </w:sectPr>
      </w:pPr>
    </w:p>
    <w:bookmarkStart w:id="11" w:name="page12"/>
    <w:bookmarkEnd w:id="11"/>
    <w:p>
      <w:pPr>
        <w:spacing w:after="0"/>
        <w:tabs>
          <w:tab w:leader="none" w:pos="7640" w:val="left"/>
          <w:tab w:leader="none" w:pos="8860" w:val="left"/>
          <w:tab w:leader="none" w:pos="9440" w:val="left"/>
          <w:tab w:leader="none" w:pos="10440" w:val="left"/>
        </w:tabs>
        <w:rPr>
          <w:sz w:val="20"/>
          <w:szCs w:val="20"/>
          <w:color w:val="auto"/>
        </w:rPr>
      </w:pPr>
      <w:r>
        <w:rPr>
          <w:rFonts w:ascii="Arial" w:cs="Arial" w:eastAsia="Arial" w:hAnsi="Arial"/>
          <w:sz w:val="18"/>
          <w:szCs w:val="18"/>
          <w:b w:val="1"/>
          <w:bCs w:val="1"/>
          <w:color w:val="auto"/>
        </w:rPr>
        <w:t>Decrease in cash, cash equivalents and restricted cash</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(587)</w:t>
        <w:tab/>
        <w:t>$</w:t>
      </w:r>
      <w:r>
        <w:rPr>
          <w:sz w:val="20"/>
          <w:szCs w:val="20"/>
          <w:color w:val="auto"/>
        </w:rPr>
        <w:tab/>
      </w:r>
      <w:r>
        <w:rPr>
          <w:rFonts w:ascii="Arial" w:cs="Arial" w:eastAsia="Arial" w:hAnsi="Arial"/>
          <w:sz w:val="16"/>
          <w:szCs w:val="16"/>
          <w:b w:val="1"/>
          <w:bCs w:val="1"/>
          <w:color w:val="auto"/>
        </w:rPr>
        <w:t>(26,235)</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Cash provided by operating activities for the six month period ended June 30, 2020 as compared to the cash provided by operating activities for the six month period ended June 30, 2019</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increased by $33.2 million to $47.7 million for the six month period ended June 30, 2020, as compared to $14.4 million for the same period in 2019. In determining net cash provided by operating activities, net loss is adjusted for the effects of certain non-cash items as discussed below.</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aggregate adjustments to reconcile net loss to net cash provided by operating activities was a $46.1 million non-cash gain for the six month period ended June 30, 2020, which consisted mainly of the following adjustments: $27.3 million depreciation and amortization, $6.9 million loss related to the other-than-temporary impairment recognized in the Navios Partners’ receivable from Navios Europe II, $6.8 million impairment loss related to three containerships, $0.8 million non-cash accrued interest income and amortization of deferred revenue, $0.5 million amortization of operating lease right-of-use asset, $1.0 million amortization and write-off of deferred finance costs and discount, $4.9 million amortization of deferred dry dock and special survey costs, $1.0 million equity in net earnings of affiliated companies and $0.5 million equity compensation expense. The net cash inflow resulting from the change in operating assets and liabilities of $26.9 million for the six month period ended June 30, 2020 resulted from a $2.0 million increase in accrued expenses, a $1.6 million increase in deferred revenue, a $14.9 million decrease in amounts due from related parties and a $22.1 million increase in amounts due to related parties. These were partially mitigated by a $2.6 million decrease in accounts payable, a $0.5 million decrease in operating lease liabilities short and long term, a $1.2 million increase in prepaid expenses and other current assets and a $9.3 million in payments for dry dock and special survey costs.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adjustments to reconcile net loss to net cash provided by operating activities was a $36.2 million non-cash gain for the six month period ended June 30, 2019, which consisted mainly of the following adjustments: $26.7 million depreciation and amortization, $7.3 million impairment loss in relation to the sale of the Navios Galaxy I, $6.3 million non-cash accrued interest income and amortization of deferred revenue, $0.1 million non-cash accrued interest income from receivable from affiliates, $4.6 million amortization and write-off of deferred finance costs and discount, $3.1 million amortization of deferred dry dock and special survey costs, $0.2 million equity in net earnings of affiliated companies and $1.0 million equity compensation expense. The net cash outflow resulting from the change in operating assets and liabilities of $5.7 million for the six month period ended June 30, 2019 resulted from a $5.8 million increase in prepaid expenses and other assets, a $0.8 million decrease in accounts payable and $5.4 million in payments for dry dock and special survey costs. This was partially mitigated by a $4.0 million decrease in accounts receivable, a $0.6 million increase in accrued expenses, a $0.3 million increase in deferred revenue and a $1.2 million decrease in amounts due from related parties, consisting of management fees and drydocking expenses including amounts needed for compliance with IMO regulations prepaid to Navios Holdings in accordance with the Management and Administrative Service agreements and the Navios Holdings Guarantee.</w:t>
      </w:r>
    </w:p>
    <w:p>
      <w:pPr>
        <w:spacing w:after="0" w:line="2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Cash used in investing activities for the six month period ended June 30, 2020 as compared to the cash used in investing activities for the six month period ended June 30, 2019</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increased by $38.0 million to $39.7 million for the six month period ended June 30, 2020, as compared to $1.6 million for the same period in 2019.</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of $39.7 million for the six month period ended June 30, 2020 was mainly due to a: (i) $37.6 million relating to vessels acquisitions and additions; and (ii) $4.4 million relating to deposits for the option to acquire two bareboat charter-in vessels and capitalized expenses. This was partially mitigated by a $2.3 million of proceeds from the note receivable related to the sale of the MSC Cristina.</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of $1.6 million for the six month period ended June 30, 2019 was mainly due to a: (i) $6.0 million payments relating to capitalized expenses of our fleet; and (ii) $4.0 million loan granted to Navios Europe I. This was partially mitigated by a $6.0 million of proceeds from the sale of the Navios Galaxy I and $2.3 million of proceeds from the note receivable related to the sale of the MSC Cristina.</w:t>
      </w:r>
    </w:p>
    <w:p>
      <w:pPr>
        <w:spacing w:after="0" w:line="2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Cash used in financing activities for the six month period ended June 30, 2020 as compared to cash used in financing activities for the six month period ended June 30, 2019</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decreased by $30.4 million to $8.6 million for the six month period ended June 30, 2020, as compared to $39.0 million for the same period in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of $8.6 million for the six month period ended June 30, 2020 was mainly due to: (i) a payment of a total cash distribution of $6.7 million; (ii) loans and financial liabilities repayments of $47.9 million; and (iii) a payment of $0.4 million of deferred finance fees relating to the new credit facilities. This was partially offset by $46.5 million of proceeds from the new credit facilities.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of $39.0 million for the six month period ended June 30, 2019 was due to: (i) payment of a total cash distribution of $6.8 million; (ii) loans and financial liabilities repayments of $96.7 million; (iii) a payment of $1.7 million of deferred finance fees relating to the new credit facilities and sale and leaseback agreements; and (iv) a payment of $4.5 million for acquisition of treasury stock. This was partially offset by $70.8 million of proceeds from the December 2018 Credit Facility, the February 2019 Credit Facility and the financial liabilities of the Navios Sol and the Navios Sagittarius.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Reconciliation of EBITDA and Adjusted EBITDA to Net Cash from Operating Activities, EBITDA, Operating Surplus and Available Cash for Distribution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Three Month</w:t>
            </w:r>
          </w:p>
        </w:tc>
        <w:tc>
          <w:tcPr>
            <w:tcW w:w="28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Three Month</w:t>
            </w: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Six Month</w:t>
            </w:r>
          </w:p>
        </w:tc>
        <w:tc>
          <w:tcPr>
            <w:tcW w:w="140" w:type="dxa"/>
            <w:vAlign w:val="bottom"/>
          </w:tcPr>
          <w:p>
            <w:pPr>
              <w:spacing w:after="0"/>
              <w:rPr>
                <w:sz w:val="14"/>
                <w:szCs w:val="14"/>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Six Month</w:t>
            </w: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8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Period Ended</w:t>
            </w:r>
          </w:p>
        </w:tc>
        <w:tc>
          <w:tcPr>
            <w:tcW w:w="140" w:type="dxa"/>
            <w:vAlign w:val="bottom"/>
          </w:tcPr>
          <w:p>
            <w:pPr>
              <w:spacing w:after="0"/>
              <w:rPr>
                <w:sz w:val="12"/>
                <w:szCs w:val="12"/>
                <w:color w:val="auto"/>
              </w:rPr>
            </w:pPr>
          </w:p>
        </w:tc>
        <w:tc>
          <w:tcPr>
            <w:tcW w:w="11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28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June 30, 2020</w:t>
            </w:r>
          </w:p>
        </w:tc>
        <w:tc>
          <w:tcPr>
            <w:tcW w:w="140" w:type="dxa"/>
            <w:vAlign w:val="bottom"/>
          </w:tcPr>
          <w:p>
            <w:pPr>
              <w:spacing w:after="0"/>
              <w:rPr>
                <w:sz w:val="12"/>
                <w:szCs w:val="12"/>
                <w:color w:val="auto"/>
              </w:rPr>
            </w:pPr>
          </w:p>
        </w:tc>
        <w:tc>
          <w:tcPr>
            <w:tcW w:w="11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June 30, 2019</w:t>
            </w: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 ‘000)</w:t>
            </w:r>
          </w:p>
        </w:tc>
        <w:tc>
          <w:tcPr>
            <w:tcW w:w="28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 ‘000)</w:t>
            </w:r>
          </w:p>
        </w:tc>
        <w:tc>
          <w:tcPr>
            <w:tcW w:w="1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 ‘000)</w:t>
            </w:r>
          </w:p>
        </w:tc>
        <w:tc>
          <w:tcPr>
            <w:tcW w:w="140" w:type="dxa"/>
            <w:vAlign w:val="bottom"/>
          </w:tcPr>
          <w:p>
            <w:pPr>
              <w:spacing w:after="0"/>
              <w:rPr>
                <w:sz w:val="12"/>
                <w:szCs w:val="12"/>
                <w:color w:val="auto"/>
              </w:rPr>
            </w:pPr>
          </w:p>
        </w:tc>
        <w:tc>
          <w:tcPr>
            <w:tcW w:w="11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9"/>
              </w:rPr>
              <w:t>($ ‘000)</w:t>
            </w:r>
          </w:p>
        </w:tc>
      </w:tr>
      <w:tr>
        <w:trPr>
          <w:trHeight w:val="17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(unaudited)</w:t>
            </w: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4"/>
                <w:szCs w:val="14"/>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(unaudited)</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3,943</w:t>
            </w:r>
          </w:p>
        </w:tc>
        <w:tc>
          <w:tcPr>
            <w:tcW w:w="4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  47,675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14,426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(increase)/ decrease in operating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8"/>
                <w:szCs w:val="18"/>
                <w:color w:val="auto"/>
              </w:rPr>
              <w:t>7,538</w:t>
            </w:r>
          </w:p>
        </w:tc>
        <w:tc>
          <w:tcPr>
            <w:tcW w:w="42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Arial" w:cs="Arial" w:eastAsia="Arial" w:hAnsi="Arial"/>
                <w:sz w:val="18"/>
                <w:szCs w:val="18"/>
                <w:color w:val="auto"/>
              </w:rPr>
              <w:t>(3,767)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8"/>
                <w:szCs w:val="18"/>
                <w:color w:val="auto"/>
              </w:rPr>
              <w:t>5,902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operating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(3,119)</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(23,181)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(180)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interest cost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8"/>
                <w:szCs w:val="18"/>
                <w:color w:val="auto"/>
              </w:rPr>
              <w:t>10,455</w:t>
            </w:r>
          </w:p>
        </w:tc>
        <w:tc>
          <w:tcPr>
            <w:tcW w:w="42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Arial" w:cs="Arial" w:eastAsia="Arial" w:hAnsi="Arial"/>
                <w:sz w:val="18"/>
                <w:szCs w:val="18"/>
                <w:color w:val="auto"/>
              </w:rPr>
              <w:t>12,848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8"/>
                <w:szCs w:val="18"/>
                <w:color w:val="auto"/>
              </w:rPr>
              <w:t>20,226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financing cost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(2,970)</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(1,018)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(4,633)</w:t>
            </w:r>
          </w:p>
        </w:tc>
      </w:tr>
    </w:tbl>
    <w:p>
      <w:pPr>
        <w:sectPr>
          <w:pgSz w:w="11900" w:h="16838" w:orient="portrait"/>
          <w:cols w:equalWidth="0" w:num="1">
            <w:col w:w="11240"/>
          </w:cols>
          <w:pgMar w:left="320" w:top="351" w:right="339" w:bottom="0" w:gutter="0" w:footer="0" w:header="0"/>
        </w:sectPr>
      </w:pPr>
    </w:p>
    <w:bookmarkStart w:id="12" w:name="page13"/>
    <w:bookmarkEnd w:id="12"/>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Amortization of operating lease right-of-use asset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 cash accrued interest income and amortization of deferred</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6,303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(1,013)</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(7,345)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34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 cash accrued interest income from receivable from</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3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141</w:t>
            </w: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earnings of affiliates, net of dividends received</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185</w:t>
            </w:r>
          </w:p>
        </w:tc>
      </w:tr>
      <w:tr>
        <w:trPr>
          <w:trHeight w:val="223"/>
        </w:trPr>
        <w:tc>
          <w:tcPr>
            <w:tcW w:w="4760" w:type="dxa"/>
            <w:vAlign w:val="bottom"/>
            <w:shd w:val="clear" w:color="auto" w:fill="CCEEFF"/>
          </w:tcPr>
          <w:p>
            <w:pPr>
              <w:spacing w:after="0" w:line="223"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18,699</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34,012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Change in estimated guarantee claim receivable</w:t>
            </w:r>
          </w:p>
        </w:tc>
        <w:tc>
          <w:tcPr>
            <w:tcW w:w="34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3,638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3,638</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receivable in affiliated company</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Vessels impairment loss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7,345</w:t>
            </w:r>
          </w:p>
        </w:tc>
      </w:tr>
      <w:tr>
        <w:trPr>
          <w:trHeight w:val="223"/>
        </w:trPr>
        <w:tc>
          <w:tcPr>
            <w:tcW w:w="47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5"/>
                <w:szCs w:val="25"/>
                <w:color w:val="auto"/>
                <w:vertAlign w:val="superscript"/>
              </w:rPr>
              <w:t>(1)</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22,337</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33,371</w:t>
            </w: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44,995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Cash interest income</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372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interest paid</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(18,724)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Maintenance and replacement capital expenditures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(14,734)</w:t>
            </w:r>
          </w:p>
        </w:tc>
      </w:tr>
      <w:tr>
        <w:trPr>
          <w:trHeight w:val="223"/>
        </w:trPr>
        <w:tc>
          <w:tcPr>
            <w:tcW w:w="47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7"/>
                <w:szCs w:val="17"/>
                <w:b w:val="1"/>
                <w:bCs w:val="1"/>
                <w:color w:val="auto"/>
              </w:rPr>
              <w:t>Operating (Deficit)/Surplus</w:t>
            </w:r>
            <w:r>
              <w:rPr>
                <w:rFonts w:ascii="Arial" w:cs="Arial" w:eastAsia="Arial" w:hAnsi="Arial"/>
                <w:sz w:val="25"/>
                <w:szCs w:val="25"/>
                <w:color w:val="auto"/>
                <w:vertAlign w:val="superscript"/>
              </w:rPr>
              <w:t>(2)</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6,207</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3,303</w:t>
            </w: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11,909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Cash distribution paid relating to the first quarter</w:t>
            </w:r>
          </w:p>
        </w:tc>
        <w:tc>
          <w:tcPr>
            <w:tcW w:w="34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(3,364)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reserves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(5,181)</w:t>
            </w:r>
          </w:p>
        </w:tc>
      </w:tr>
      <w:tr>
        <w:trPr>
          <w:trHeight w:val="217"/>
        </w:trPr>
        <w:tc>
          <w:tcPr>
            <w:tcW w:w="4760" w:type="dxa"/>
            <w:vAlign w:val="bottom"/>
          </w:tcPr>
          <w:p>
            <w:pPr>
              <w:spacing w:after="0" w:line="210" w:lineRule="exact"/>
              <w:rPr>
                <w:sz w:val="20"/>
                <w:szCs w:val="20"/>
                <w:color w:val="auto"/>
              </w:rPr>
            </w:pPr>
            <w:r>
              <w:rPr>
                <w:rFonts w:ascii="Arial" w:cs="Arial" w:eastAsia="Arial" w:hAnsi="Arial"/>
                <w:sz w:val="17"/>
                <w:szCs w:val="17"/>
                <w:b w:val="1"/>
                <w:bCs w:val="1"/>
                <w:color w:val="auto"/>
              </w:rPr>
              <w:t>Available cash for distribution</w:t>
            </w:r>
            <w:r>
              <w:rPr>
                <w:rFonts w:ascii="Arial" w:cs="Arial" w:eastAsia="Arial" w:hAnsi="Arial"/>
                <w:sz w:val="24"/>
                <w:szCs w:val="24"/>
                <w:color w:val="auto"/>
                <w:vertAlign w:val="superscript"/>
              </w:rPr>
              <w:t>(3)</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3,364</w:t>
            </w: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3,364</w:t>
            </w:r>
          </w:p>
        </w:tc>
      </w:tr>
    </w:tbl>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w:t>
            </w:r>
          </w:p>
        </w:tc>
        <w:tc>
          <w:tcPr>
            <w:tcW w:w="18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Three Month</w:t>
            </w:r>
          </w:p>
        </w:tc>
        <w:tc>
          <w:tcPr>
            <w:tcW w:w="1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Six Month</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Six Month</w:t>
            </w:r>
          </w:p>
        </w:tc>
        <w:tc>
          <w:tcPr>
            <w:tcW w:w="120" w:type="dxa"/>
            <w:vAlign w:val="bottom"/>
          </w:tcPr>
          <w:p>
            <w:pPr>
              <w:spacing w:after="0"/>
              <w:rPr>
                <w:sz w:val="14"/>
                <w:szCs w:val="14"/>
                <w:color w:val="auto"/>
              </w:rPr>
            </w:pPr>
          </w:p>
        </w:tc>
      </w:tr>
      <w:tr>
        <w:trPr>
          <w:trHeight w:val="148"/>
        </w:trPr>
        <w:tc>
          <w:tcPr>
            <w:tcW w:w="4080" w:type="dxa"/>
            <w:vAlign w:val="bottom"/>
          </w:tcPr>
          <w:p>
            <w:pPr>
              <w:spacing w:after="0"/>
              <w:rPr>
                <w:sz w:val="12"/>
                <w:szCs w:val="12"/>
                <w:color w:val="auto"/>
              </w:rPr>
            </w:pPr>
          </w:p>
        </w:tc>
        <w:tc>
          <w:tcPr>
            <w:tcW w:w="16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8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5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r>
      <w:tr>
        <w:trPr>
          <w:trHeight w:val="148"/>
        </w:trPr>
        <w:tc>
          <w:tcPr>
            <w:tcW w:w="4080" w:type="dxa"/>
            <w:vAlign w:val="bottom"/>
          </w:tcPr>
          <w:p>
            <w:pPr>
              <w:spacing w:after="0"/>
              <w:rPr>
                <w:sz w:val="12"/>
                <w:szCs w:val="12"/>
                <w:color w:val="auto"/>
              </w:rPr>
            </w:pPr>
          </w:p>
        </w:tc>
        <w:tc>
          <w:tcPr>
            <w:tcW w:w="16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8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5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‘000)</w:t>
            </w:r>
          </w:p>
        </w:tc>
        <w:tc>
          <w:tcPr>
            <w:tcW w:w="18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 ‘000)</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‘000)</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2"/>
                <w:szCs w:val="12"/>
                <w:color w:val="auto"/>
              </w:rPr>
            </w:pPr>
          </w:p>
        </w:tc>
      </w:tr>
      <w:tr>
        <w:trPr>
          <w:trHeight w:val="171"/>
        </w:trPr>
        <w:tc>
          <w:tcPr>
            <w:tcW w:w="4080" w:type="dxa"/>
            <w:vAlign w:val="bottom"/>
          </w:tcPr>
          <w:p>
            <w:pPr>
              <w:spacing w:after="0"/>
              <w:rPr>
                <w:sz w:val="14"/>
                <w:szCs w:val="1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(unaudited)</w:t>
            </w:r>
          </w:p>
        </w:tc>
        <w:tc>
          <w:tcPr>
            <w:tcW w:w="1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auto"/>
              </w:rPr>
              <w:t>3,943</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47,675</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4"/>
              </w:rPr>
              <w:t>14,426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58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36,327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1"/>
              <w:spacing w:after="0"/>
              <w:rPr>
                <w:sz w:val="20"/>
                <w:szCs w:val="20"/>
                <w:color w:val="auto"/>
              </w:rPr>
            </w:pPr>
            <w:r>
              <w:rPr>
                <w:rFonts w:ascii="Arial" w:cs="Arial" w:eastAsia="Arial" w:hAnsi="Arial"/>
                <w:sz w:val="18"/>
                <w:szCs w:val="18"/>
                <w:color w:val="auto"/>
              </w:rPr>
              <w:t>3,739</w:t>
            </w:r>
          </w:p>
        </w:tc>
        <w:tc>
          <w:tcPr>
            <w:tcW w:w="320" w:type="dxa"/>
            <w:vAlign w:val="bottom"/>
          </w:tcPr>
          <w:p>
            <w:pPr>
              <w:spacing w:after="0"/>
              <w:rPr>
                <w:sz w:val="18"/>
                <w:szCs w:val="18"/>
                <w:color w:val="auto"/>
              </w:rPr>
            </w:pPr>
          </w:p>
        </w:tc>
        <w:tc>
          <w:tcPr>
            <w:tcW w:w="780" w:type="dxa"/>
            <w:vAlign w:val="bottom"/>
          </w:tcPr>
          <w:p>
            <w:pPr>
              <w:jc w:val="right"/>
              <w:ind w:right="381"/>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(39,664)</w:t>
            </w:r>
          </w:p>
        </w:tc>
        <w:tc>
          <w:tcPr>
            <w:tcW w:w="320" w:type="dxa"/>
            <w:vAlign w:val="bottom"/>
          </w:tcPr>
          <w:p>
            <w:pPr>
              <w:spacing w:after="0"/>
              <w:rPr>
                <w:sz w:val="18"/>
                <w:szCs w:val="18"/>
                <w:color w:val="auto"/>
              </w:rPr>
            </w:pPr>
          </w:p>
        </w:tc>
        <w:tc>
          <w:tcPr>
            <w:tcW w:w="460" w:type="dxa"/>
            <w:vAlign w:val="bottom"/>
          </w:tcPr>
          <w:p>
            <w:pPr>
              <w:jc w:val="right"/>
              <w:ind w:right="26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8,257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(22,814)</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(8,598)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5"/>
              </w:rPr>
              <w:t>(39,025)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EBITDA and Adjusted EBITDA</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EBITDA represents net loss attributable to Navios Partners’ unitholders before interest and finance costs, before depreciation and amortization (including intangible accelerated amortization) and income taxes. Adjusted EBITDA represents EBITDA before impairment losses and change in estimated guarantee claim receivable. Navios Partners uses Adjusted EBITDA as a liquidity measure and reconcile EBITDA and Adjusted EBITDA to net cash provided by operating activities, the most comparable U.S. GAAP liquidity measure. EBITDA in this document is calculated as follows: net cash provided by operating activities adding back, when applicable and as the case may be, the effect of: (i) net decrease/ (increase) in operating assets; (ii) net increase in operating liabilities; (iii) net interest cost; (iv) amortization and write-off of deferred financing cost; (v) equity in net earnings of affiliates, net of dividends received;</w:t>
      </w:r>
    </w:p>
    <w:p>
      <w:pPr>
        <w:spacing w:after="0" w:line="4" w:lineRule="exact"/>
        <w:rPr>
          <w:sz w:val="20"/>
          <w:szCs w:val="20"/>
          <w:color w:val="auto"/>
        </w:rPr>
      </w:pPr>
    </w:p>
    <w:p>
      <w:pPr>
        <w:jc w:val="both"/>
        <w:ind w:firstLine="8"/>
        <w:spacing w:after="0" w:line="290"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impairment charges; (vii) non-cash accrued interest income and amortization of deferred revenue; (viii) equity compensation expense; (ix) non-cash accrued interest income from receivable from affiliates; and (x) amortization of operating lease right-of-use asset. Navios Partners believes that EBITDA and Adjusted EBITDA are each the basis upon which liquidity can be assessed and presents useful information to investors regarding Navios Partners’ ability to service and/or incur indebtedness, pay capital expenditures, meet working capital requirements and make cash distributions. Navios Partners also believes that EBITDA and Adjusted EBITDA are used: (i) by potential lenders to evaluate potential transactions; (ii) to evaluate and price potential acquisition candidates; and (iii) by securities analysts, investors and other interested parties in the evaluation of companies in our industry.</w:t>
      </w:r>
    </w:p>
    <w:p>
      <w:pPr>
        <w:spacing w:after="0" w:line="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EBITDA and Adjusted EBITDA have limitations as an analytical tool, and should not be considered in isolation or as a substitute for the analysis of Navios Partners’ results as reported under U.S. GAAP. Some of these limitations are: (i) EBITDA and Adjusted EBITDA do not reflect changes in, or cash requirements for, working capital needs; and (ii) although depreciation and amortization are non-cash charges, the assets being depreciated and amortized may have to be replaced in the future. EBITDA and Adjusted EBITDA do not reflect any cash requirements for such capital expenditures. Because of these limitations, EBITDA and Adjusted EBITDA should not be considered as a principal indicator of Navios Partners’ performance. Furthermore, our calculation of EBITDA and Adjusted EBITDA may not be comparable to that reported by other companies due to differences in methods of calculation.</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EBITDA for the three month period ended June 30, 2020 was negatively affected by the accounting effect of a $6.8 million impairment loss related to three containerships. EBITDA for the three month period ended June 30, 2019 was negatively affected by the accounting effect of a $3.6 million change in estimated guarantee claim receivable. Excluding these items, Adjusted EBITDA decreased by $8.0 million to $14.3 million for the three month period ended June 30, 2020, as compared to $22.3 million for the same period in 2019. The decrease in Adjusted EBITDA was primarily due to: (i) a $1.2 million decrease in revenue; (ii) a $5.4 million increase in vessel operating expenses, mainly due to the increased fleet; (iii) a $0.5 million increase in general and administrative fees; (iv) a $1.5 million increase in other expense; and (v) a $0.9 million decrease in equity in net earnings of affiliated companies. The above decrease was partially mitigated by a: (i) $0.5 million decrease in time charter and voyage expenses; and (ii) $0.9 million increase in other income.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for the six month period ended June 30, 2020 was negatively affected by the accounting effect of a $6.9 million loss related to the other-than-temporary impairment recognized in the Navios Partners’ receivable from Navios Europe II and a $6.8 million impairment loss related to three containerships. EBITDA for the six month period ended June 30, 2019 was negatively affected by the accounting effect of a: (i) $7.3 million impairment loss on the sale of the Navios Galaxy I; and (ii) $3.6 million change in estimated guarantee claim receivable. Excluding these items, Adjusted EBITDA decreased by $11.6 million to $33.4 million for the six month period ended June 30, 2020, as compared to $45.0 million for the same period in 2019. The decrease in Adjusted EBITDA was primarily due to: (i) a $1.5 million decrease in revenue; (ii) an $11.0 million increase in vessel operating expenses, mainly due to the increased fleet; (iii) a $0.6 million increase in general and administrative expenses; and (iv) a $1.8 million increase in other expense. The above decrease was partially mitigated by a: (i) $1.0 million decrease in time charter and voyage expenses; (ii) $1.6 million increase in other income; and (iii) $0.8 million increase in equity in net earnings of affiliated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Operating Surplus</w:t>
      </w:r>
    </w:p>
    <w:p>
      <w:pPr>
        <w:sectPr>
          <w:pgSz w:w="11900" w:h="16891" w:orient="portrait"/>
          <w:cols w:equalWidth="0" w:num="1">
            <w:col w:w="11240"/>
          </w:cols>
          <w:pgMar w:left="320" w:top="125" w:right="339" w:bottom="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Operating Surplus represents net income adjusted for depreciation and amortization expense, non-cash interest expense, non-cash interest income, equity compensation expense, estimated maintenance and replacement capital expenditures and one-off items. Maintenance and replacement capital expenditures are those capital expenditures required to maintain over the long term the operating capacity of, or the revenue generated by, Navios Partners’ capital assets.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Surplus is a quantitative measure used in the publicly-traded partnership investment community to assist in evaluating a partnership’s ability to make quarterly cash distributions. Operating Surplus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Available Cash generally means, for each fiscal quarter, all cash on hand at the end of the quarter:</w:t>
      </w:r>
    </w:p>
    <w:p>
      <w:pPr>
        <w:spacing w:after="0" w:line="131" w:lineRule="exact"/>
        <w:rPr>
          <w:sz w:val="20"/>
          <w:szCs w:val="20"/>
          <w:color w:val="auto"/>
        </w:rPr>
      </w:pPr>
    </w:p>
    <w:p>
      <w:pPr>
        <w:ind w:left="1000" w:hanging="439"/>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the amount of cash reserves established by the Board of Directors to:</w:t>
      </w:r>
    </w:p>
    <w:p>
      <w:pPr>
        <w:spacing w:after="0" w:line="130" w:lineRule="exact"/>
        <w:rPr>
          <w:rFonts w:ascii="Arial" w:cs="Arial" w:eastAsia="Arial" w:hAnsi="Arial"/>
          <w:sz w:val="18"/>
          <w:szCs w:val="18"/>
          <w:color w:val="auto"/>
        </w:rPr>
      </w:pPr>
    </w:p>
    <w:p>
      <w:pPr>
        <w:ind w:left="1000" w:hanging="115"/>
        <w:spacing w:after="0"/>
        <w:tabs>
          <w:tab w:leader="none" w:pos="10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provide for the proper conduct of Navios Partners’ business (including reserve for maintenance and replacement capital expenditures);</w:t>
      </w:r>
    </w:p>
    <w:p>
      <w:pPr>
        <w:spacing w:after="0" w:line="142" w:lineRule="exact"/>
        <w:rPr>
          <w:rFonts w:ascii="Arial" w:cs="Arial" w:eastAsia="Arial" w:hAnsi="Arial"/>
          <w:sz w:val="17"/>
          <w:szCs w:val="17"/>
          <w:color w:val="auto"/>
        </w:rPr>
      </w:pPr>
    </w:p>
    <w:p>
      <w:pPr>
        <w:ind w:left="1000" w:hanging="115"/>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comply with applicable law, any of Navios Partners’ debt instruments, or other agreements; or</w:t>
      </w:r>
    </w:p>
    <w:p>
      <w:pPr>
        <w:spacing w:after="0" w:line="130" w:lineRule="exact"/>
        <w:rPr>
          <w:rFonts w:ascii="Arial" w:cs="Arial" w:eastAsia="Arial" w:hAnsi="Arial"/>
          <w:sz w:val="18"/>
          <w:szCs w:val="18"/>
          <w:color w:val="auto"/>
        </w:rPr>
      </w:pPr>
    </w:p>
    <w:p>
      <w:pPr>
        <w:ind w:left="1000" w:hanging="115"/>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provide funds for distributions to the unitholders and to the general partner for any one or more of the next four quarters;</w:t>
      </w:r>
    </w:p>
    <w:p>
      <w:pPr>
        <w:spacing w:after="0" w:line="130" w:lineRule="exact"/>
        <w:rPr>
          <w:rFonts w:ascii="Arial" w:cs="Arial" w:eastAsia="Arial" w:hAnsi="Arial"/>
          <w:sz w:val="18"/>
          <w:szCs w:val="18"/>
          <w:color w:val="auto"/>
        </w:rPr>
      </w:pPr>
    </w:p>
    <w:p>
      <w:pPr>
        <w:jc w:val="both"/>
        <w:ind w:left="1000" w:right="160" w:hanging="439"/>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any revolving credit or similar agreement used solely for working capital purposes or to pay distributions to partners.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Available Cash is a quantitative measure used in the publicly-traded partnership investment community to assist in evaluating a partnership’s ability to make quarterly cash distributions. Available Cash is not required by U.S. GAAP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Navios Partners’ long-term borrowings are presented under the captions “Long-term financial liabilities, net”, “Long-term debt, net”, “Current portion of financial liabilities, net” and “Current portion of long-term debt, net”. As of June 30, 2020 and December 31, 2019, total borrowings, net of deferred finance fees and discount amounted to $488.2 million and $489.0 million, respectively. The current portion of long-term borrowings, net amounted to $93.5 million at June 30, 2020 and $59.8 million at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Navios Partners finances its capital expenditures with cash flow from operations, equity raisings, long-term bank borrowings and other debt raisings. Capital expenditures for each of the six month periods ended June 30, 2020 and 2019 amounted to $42.0 million and $6.0 million, respectively. The reserves for estimated maintenance and replacement capital expenditures for the three and six month periods ended June 30, 2020 were $8.6 million and $17.2 million, respectively. The reserves for estimated maintenance and replacement capital expenditures for the three and six month periods ended June 30, 2019 were $7.3 million and $14.7 million, respectively.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Maintenance for our vessels and expenses related to drydocking expenses are reimbursed at cost by Navios Partners to our Manager under the Management Agreement (as defined herein). In each of October 2013, August 2014, February 2015, February 2016 and November 2017, Navios Partners amended its existing management agreement (the “Management Agreement”) with the Manager to fix the fees for ship management services of its owned fleet, excluding drydocking expenses, which are reimbursed at cost by Navios Partners at: (a) $4,225 daily rate per Ultra-Handymax vessel; (b) $4,325 daily rate per Panamax vessel; (c) $5,250 daily rate per Capesize vessel; (d) $6,700 daily rate per Container vessel of TEU 6,800; (e) $7,400 daily rate per Container vessel of more than TEU 8,000; and (f) $8,750 daily rate per very large Containers vessel of more than TEU 13,000 through December 31, 2019.</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2019, Navios Partners extended the duration of its existing management agreement with the Manager until January 1, 2025. Management fees are fixed for two years commencing from January 1, 2020 at: (a) $4,350 daily per Ultra-Handymax Vessel; (b) $4,450 daily per Panamax Vessel; (c) $5,410 daily per Capesize Vessel; and (d) $6,900 daily per 6,800 TEU Containership. The agreement also provides for a technical and commercial management fee of $50 per day per vessel and an annual increase of 3% after January 1, 2022 unless agreed otherwise.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Following the liquidation of Navios Europe I, Navios Partners acquired three Sub-Panamax and two Panamax Containerships. As per the Management Agreement, as amended in December 2019, management fees are fixed for two years commencing from January 1, 2020 at $6,100 daily per Sub-Panamax/Panamax Containership. The agreement also provides for a technical and commercial management fee of $50 per day per vessel and an annual increase of 3% after January 1, 2022 for the remaining period unless agreed otherwise. Drydocking expenses are reimbursed at cost for all vessels.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Replacement Capital Expenditures Reserve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our annual replacement reserve for the year ending December 31, 2020 will be approximately $38.0 million, for replacing our vessels at the end of their useful lives.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for estimated replacement capital expenditures attributable to future vessel replacement was based on the following assumptions: (i) current market price to purchase a five year old vessel of similar size and specifications; (ii) a 25-year useful life for drybulk vessels and a 30-year useful life for containerships; and (iii) a relative net investment rate.</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amount for estimated maintenance capital expenditures attributable to future vessel drydocking and special survey was based on certain assumptions including the remaining useful life of the owned vessels of our fleet, market costs of drydocking and special survey and a relative net investment rate.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Board of Directors, with the approval of the Conflicts Committee, may determine that one or more of our assumptions should be revised, which could cause our Board of Directors to increase or decrease the amount of estimated maintenance and replacement capital expenditures. The actual cost of replacing the vessels in our fleet will depend on a number of factors, including prevailing market conditions, charter hire rates and the availability and cost of financing at the time of replacement. We may elect to finance some or all of our maintenance and replacement capital expenditures through the issuance of additional common units, which could be dilutive to existing unitholders.</w:t>
      </w:r>
    </w:p>
    <w:p>
      <w:pPr>
        <w:sectPr>
          <w:pgSz w:w="11900" w:h="16838" w:orient="portrait"/>
          <w:cols w:equalWidth="0" w:num="1">
            <w:col w:w="11240"/>
          </w:cols>
          <w:pgMar w:left="320" w:top="125" w:right="339" w:bottom="0" w:gutter="0" w:footer="0" w:header="0"/>
        </w:sectPr>
      </w:pPr>
    </w:p>
    <w:bookmarkStart w:id="14" w:name="page15"/>
    <w:bookmarkEnd w:id="14"/>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long-term contractual obligations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w w:val="96"/>
              </w:rPr>
              <w:t>Payments due by period (Unaudited)</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w w:val="95"/>
              </w:rPr>
              <w:t>Less than</w:t>
            </w:r>
          </w:p>
        </w:tc>
        <w:tc>
          <w:tcPr>
            <w:tcW w:w="240" w:type="dxa"/>
            <w:vAlign w:val="bottom"/>
          </w:tcPr>
          <w:p>
            <w:pPr>
              <w:spacing w:after="0"/>
              <w:rPr>
                <w:sz w:val="10"/>
                <w:szCs w:val="10"/>
                <w:color w:val="auto"/>
              </w:rPr>
            </w:pPr>
          </w:p>
        </w:tc>
        <w:tc>
          <w:tcPr>
            <w:tcW w:w="80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w w:val="88"/>
              </w:rPr>
              <w:t>1-3 years</w:t>
            </w:r>
          </w:p>
        </w:tc>
        <w:tc>
          <w:tcPr>
            <w:tcW w:w="220" w:type="dxa"/>
            <w:vAlign w:val="bottom"/>
          </w:tcPr>
          <w:p>
            <w:pPr>
              <w:spacing w:after="0"/>
              <w:rPr>
                <w:sz w:val="10"/>
                <w:szCs w:val="10"/>
                <w:color w:val="auto"/>
              </w:rPr>
            </w:pPr>
          </w:p>
        </w:tc>
        <w:tc>
          <w:tcPr>
            <w:tcW w:w="7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8"/>
              </w:rPr>
              <w:t>3-5 years</w:t>
            </w:r>
          </w:p>
        </w:tc>
        <w:tc>
          <w:tcPr>
            <w:tcW w:w="1000" w:type="dxa"/>
            <w:vAlign w:val="bottom"/>
            <w:gridSpan w:val="2"/>
          </w:tcPr>
          <w:p>
            <w:pPr>
              <w:jc w:val="right"/>
              <w:ind w:right="94"/>
              <w:spacing w:after="0" w:line="119" w:lineRule="exact"/>
              <w:rPr>
                <w:sz w:val="20"/>
                <w:szCs w:val="20"/>
                <w:color w:val="auto"/>
              </w:rPr>
            </w:pPr>
            <w:r>
              <w:rPr>
                <w:rFonts w:ascii="Arial" w:cs="Arial" w:eastAsia="Arial" w:hAnsi="Arial"/>
                <w:sz w:val="13"/>
                <w:szCs w:val="13"/>
                <w:b w:val="1"/>
                <w:bCs w:val="1"/>
                <w:color w:val="auto"/>
              </w:rPr>
              <w:t>More than</w:t>
            </w:r>
          </w:p>
        </w:tc>
        <w:tc>
          <w:tcPr>
            <w:tcW w:w="2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5 years</w:t>
            </w:r>
          </w:p>
        </w:tc>
        <w:tc>
          <w:tcPr>
            <w:tcW w:w="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(In thousands of U.S. dollars)</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Loan obligations</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89,224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204,786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131,870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425,880</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Arial" w:cs="Arial" w:eastAsia="Arial" w:hAnsi="Arial"/>
                <w:sz w:val="18"/>
                <w:szCs w:val="18"/>
                <w:color w:val="auto"/>
              </w:rPr>
              <w:t>Financial liabilities</w:t>
            </w:r>
            <w:r>
              <w:rPr>
                <w:rFonts w:ascii="Arial" w:cs="Arial" w:eastAsia="Arial" w:hAnsi="Arial"/>
                <w:sz w:val="25"/>
                <w:szCs w:val="25"/>
                <w:color w:val="auto"/>
                <w:vertAlign w:val="superscript"/>
              </w:rPr>
              <w:t>(2)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6,363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13,739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20,261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26,672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67,035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2"/>
              </w:rPr>
              <w:t>Operating Lease Obligations (Time Charters) for bareboat charter-in vessels</w:t>
            </w:r>
            <w:r>
              <w:rPr>
                <w:rFonts w:ascii="Arial" w:cs="Arial" w:eastAsia="Arial" w:hAnsi="Arial"/>
                <w:sz w:val="25"/>
                <w:szCs w:val="25"/>
                <w:color w:val="auto"/>
                <w:w w:val="92"/>
                <w:vertAlign w:val="superscript"/>
              </w:rPr>
              <w:t>(3) (4)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13,252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61,893</w:t>
            </w:r>
          </w:p>
        </w:tc>
        <w:tc>
          <w:tcPr>
            <w:tcW w:w="0" w:type="dxa"/>
            <w:vAlign w:val="bottom"/>
          </w:tcPr>
          <w:p>
            <w:pPr>
              <w:spacing w:after="0"/>
              <w:rPr>
                <w:sz w:val="1"/>
                <w:szCs w:val="1"/>
                <w:color w:val="auto"/>
              </w:rPr>
            </w:pPr>
          </w:p>
        </w:tc>
      </w:tr>
      <w:tr>
        <w:trPr>
          <w:trHeight w:val="446"/>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7"/>
              <w:spacing w:after="0"/>
              <w:rPr>
                <w:sz w:val="20"/>
                <w:szCs w:val="20"/>
                <w:color w:val="auto"/>
              </w:rPr>
            </w:pPr>
            <w:r>
              <w:rPr>
                <w:rFonts w:ascii="Arial" w:cs="Arial" w:eastAsia="Arial" w:hAnsi="Arial"/>
                <w:sz w:val="18"/>
                <w:szCs w:val="18"/>
                <w:b w:val="1"/>
                <w:bCs w:val="1"/>
                <w:color w:val="auto"/>
              </w:rPr>
              <w:t>97,845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rPr>
              <w:t>231,777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w w:val="98"/>
              </w:rPr>
              <w:t>165,111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b w:val="1"/>
                <w:bCs w:val="1"/>
                <w:color w:val="auto"/>
              </w:rPr>
              <w:t>60,075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554,808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left="460" w:hanging="452"/>
        <w:spacing w:after="0" w:line="30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principal payments and repayments on amounts drawn on our credit facilities that bear interest at applicable fixed interest rates ranging from 2.6% to 7.0% plus LIBOR per annum. The amounts in the table exclude expected interest payments of $16.8 million (less than 1 year), $15.7 million (1-3 years) and $3.2 million (3-5 years). Expected interest payments are based on outstanding principal amounts, applicable currently effective interest rates and margins as of June 30, 2020, timing of scheduled payments and the term of the debt obligations.</w:t>
      </w:r>
    </w:p>
    <w:p>
      <w:pPr>
        <w:spacing w:after="0" w:line="184"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principal payments and repayments on amounts drawn under the financial liabilities and exclude interest payments of $4.4 million (less than 1 year), $7.4 million (1-3 years), $4.8 million (3-5 years) and $5.8 million (more than 5 years).</w:t>
      </w:r>
    </w:p>
    <w:p>
      <w:pPr>
        <w:spacing w:after="0" w:line="197"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2017, Navios Partners agreed to charter-in, under a ten-year bareboat contract, from an unrelated third party, a newbuilding Panamax vessel of 82,011 dwt, delivered on July 24, 2019. Navios Partners has agreed to pay in total $5.54 million, representing a deposit for the option to acquire the vessel after the end of the fourth year, of which the first half of $2.77 million was paid during the year ended December 31, 2017 and the second half of $2.77 million was paid during the year ended December 31, 2018, both presented under the caption “Other long-term assets” in the condensed Consolidated Balance Sheets as of June 30, 2020.</w:t>
      </w:r>
    </w:p>
    <w:p>
      <w:pPr>
        <w:spacing w:after="0" w:line="214" w:lineRule="exact"/>
        <w:rPr>
          <w:rFonts w:ascii="Arial" w:cs="Arial" w:eastAsia="Arial" w:hAnsi="Arial"/>
          <w:sz w:val="18"/>
          <w:szCs w:val="18"/>
          <w:color w:val="auto"/>
        </w:rPr>
      </w:pPr>
    </w:p>
    <w:p>
      <w:pPr>
        <w:jc w:val="both"/>
        <w:ind w:left="4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18, 2019, Navios Partners agreed to charter-in, under a ten-year bareboat contract, from an unrelated third party, two newbuilding Panamax vessels of approximately 81,000 dwt each, expected to be delivered by the first half of 2021. Navios Partners has agreed to pay in total $12.3 million, representing a deposit for the option to acquire the vessels after the end of the fourth year, of which the $1.4 million was paid during the year ended December 31, 2019 and the $4.3 million was paid during the first quarter of 2020, both presented under the caption “Other long-term assets” in the condensed Consolidated Balance Sheets. The amount of $5.7 million will be paid in July 2020 and the remaining amount of $0.9 million will be paid upon the delivery of the vessels. The table above excludes the deposits payable of $5.7 million in 2020 and $0.9 million in 2021.</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Navios Partners leases office space in Monaco pursuant to a five year lease agreement dated July 1, 2018 that expires in June 2023, for a monthly rent of approximately $0.01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Cash Distributions and Our Ability to Change Our Cash Distribution Policy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is no guarantee that unitholders will receive quarterly distributions from us and beginning with the quarter ending December 31, 2015, our Board of Directors elected to suspend distributions on our common units in order to preserve cash and improve our liquidity. In March 2018, the Company’s Board of Directors announced a new distribution policy under which it paid quarterly cash distribution in the amount of $0.30 per unit, or $1.20 annually. In July 2020, the Company amended its distribution and announced a quarterly distribution of $0.05 per unit for the second quarter of 2020. The cash distribution is payable on August 13, 2020 to all unitholders of common and general partner units of record as of August 10,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distribution policy is subject to certain restrictions and may be changed at any time, including:</w:t>
      </w:r>
    </w:p>
    <w:p>
      <w:pPr>
        <w:spacing w:after="0" w:line="131" w:lineRule="exact"/>
        <w:rPr>
          <w:sz w:val="20"/>
          <w:szCs w:val="20"/>
          <w:color w:val="auto"/>
        </w:rPr>
      </w:pPr>
    </w:p>
    <w:p>
      <w:pPr>
        <w:ind w:left="440" w:hanging="324"/>
        <w:spacing w:after="0" w:line="342"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9" w:lineRule="exact"/>
        <w:rPr>
          <w:rFonts w:ascii="Arial" w:cs="Arial" w:eastAsia="Arial" w:hAnsi="Arial"/>
          <w:sz w:val="16"/>
          <w:szCs w:val="16"/>
          <w:color w:val="auto"/>
        </w:rPr>
      </w:pPr>
    </w:p>
    <w:p>
      <w:pPr>
        <w:jc w:val="both"/>
        <w:ind w:left="440" w:hanging="324"/>
        <w:spacing w:after="0" w:line="255"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Although during the subordination period, with certain exceptions, our partnership agreement could not have been amended without the approval of non-affiliated common unitholders, however, our partnership agreement can be amended with the approval of a majority of the outstanding common units now that the subordination period has ended. Upon the closing of the initial public offering of our common units (the “IPO”), Navios Holdings did not own any of our outstanding common units and owned 100.0% of our outstanding subordinated units.</w:t>
      </w:r>
    </w:p>
    <w:p>
      <w:pPr>
        <w:spacing w:after="0" w:line="124" w:lineRule="exact"/>
        <w:rPr>
          <w:rFonts w:ascii="Arial" w:cs="Arial" w:eastAsia="Arial" w:hAnsi="Arial"/>
          <w:sz w:val="18"/>
          <w:szCs w:val="18"/>
          <w:color w:val="auto"/>
        </w:rPr>
      </w:pPr>
    </w:p>
    <w:p>
      <w:pPr>
        <w:ind w:left="440" w:hanging="324"/>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51" w:lineRule="exact"/>
        <w:rPr>
          <w:rFonts w:ascii="Arial" w:cs="Arial" w:eastAsia="Arial" w:hAnsi="Arial"/>
          <w:sz w:val="17"/>
          <w:szCs w:val="17"/>
          <w:color w:val="auto"/>
        </w:rPr>
      </w:pPr>
    </w:p>
    <w:p>
      <w:pPr>
        <w:ind w:left="44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to our unitholders if the distribution would cause our liabilities to exceed the fair value of our assets.</w:t>
      </w:r>
    </w:p>
    <w:p>
      <w:pPr>
        <w:spacing w:after="0" w:line="75" w:lineRule="exact"/>
        <w:rPr>
          <w:rFonts w:ascii="Arial" w:cs="Arial" w:eastAsia="Arial" w:hAnsi="Arial"/>
          <w:sz w:val="18"/>
          <w:szCs w:val="18"/>
          <w:color w:val="auto"/>
        </w:rPr>
      </w:pPr>
    </w:p>
    <w:p>
      <w:pPr>
        <w:jc w:val="both"/>
        <w:ind w:left="440" w:hanging="324"/>
        <w:spacing w:after="0" w:line="263"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ectPr>
          <w:pgSz w:w="11900" w:h="16936" w:orient="portrait"/>
          <w:cols w:equalWidth="0" w:num="1">
            <w:col w:w="11240"/>
          </w:cols>
          <w:pgMar w:left="320" w:top="121" w:right="339" w:bottom="0" w:gutter="0" w:footer="0" w:header="0"/>
        </w:sectPr>
      </w:pPr>
    </w:p>
    <w:bookmarkStart w:id="15" w:name="page16"/>
    <w:bookmarkEnd w:id="15"/>
    <w:p>
      <w:pPr>
        <w:jc w:val="both"/>
        <w:ind w:left="440" w:hanging="324"/>
        <w:spacing w:after="0" w:line="301"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distribution policy is affected by restrictions on distributions under our credit facilities. Specifically, our credit facilities contain material financial tests that must be satisfied and we will not pay any distributions that will cause us to violate our credit facilities or other debt instruments. Should we be unable to satisfy these restrictions included in our credit facilities or if we are otherwise in default under our credit facilities, our ability to make cash distributions to unitholders, notwithstanding our cash distribution policy, would be materially adversely affected.</w:t>
      </w:r>
    </w:p>
    <w:p>
      <w:pPr>
        <w:spacing w:after="0" w:line="62" w:lineRule="exact"/>
        <w:rPr>
          <w:rFonts w:ascii="Arial" w:cs="Arial" w:eastAsia="Arial" w:hAnsi="Arial"/>
          <w:sz w:val="16"/>
          <w:szCs w:val="16"/>
          <w:color w:val="auto"/>
        </w:rPr>
      </w:pPr>
    </w:p>
    <w:p>
      <w:pPr>
        <w:ind w:left="44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minimum quarterly distribution and the target distribution levels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guarantee that we will pay the quarterly distribution on the common units in any quarter. The amount of distributions paid under our policy and the decision to make any distribution is determined by our board of directors, taking into consideration the terms of our partnership agreement. We are prohibited from making any distributions to unitholders if it would cause an event of default, or an event of default exists, under our existing credit facilities.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Quarterly distributions were paid by the Company through September 2015. For the quarter ended December 31, 2015, the Company’s board of directors determined to suspend payment of the Company’s quarterly distributions in order to preserve cash and improve our liquidity. In March 2018, the Company’s board of directors announced a new distribution policy under which it paid quarterly cash distributions in the amount of $0.30 per unit, or $1.20 annually.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2020, the Board of Directors of Navios Partners amended its distribution and authorized a quarterly cash distribution for the three month period ended June 30, 2020 of $0.05 per unit. The distribution is payable on August 13, 2020 to all unitholders of common and general partner units of record as of August 10, 2020. The aggregate amount of the declared distribution to be paid is expected to be $0.6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description of our incentive distribution rights reflects such rights and the indicated levels are achieved, of which there can be no assurance. Incentive distribution rights represent the right to receive an increasing percentage of quarterly distributions of available cash from Operating Surplus after the minimum quarterly distribution and the target distribution levels have been achieved. Navios GP L.L.C. currently holds the incentive distribution rights, but may transfer these rights, provided the transferee agrees to be bound by the terms of the partnership agreement.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our general partner and the holder of our incentive distribution rights up to the various target distribution levels. The amounts set forth under “Marginal Percentage Interest in Distributions” are the percentage interests of the unitholders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for the minimum quarterly distribution are also applicable to quarterly distribution amounts that are less than the minimum quarterly distribution. The percentage interests shown for our general partner assume that our general partner maintains its 2.0% general partner interest.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Marginal Percentage Interest</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in Distributions</w:t>
            </w: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3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Total Quarterly Distribution</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0"/>
                <w:szCs w:val="10"/>
                <w:color w:val="auto"/>
              </w:rPr>
            </w:pPr>
          </w:p>
        </w:tc>
        <w:tc>
          <w:tcPr>
            <w:tcW w:w="23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Incentive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General</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Target Amount</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Unitholders</w:t>
            </w:r>
          </w:p>
        </w:tc>
        <w:tc>
          <w:tcPr>
            <w:tcW w:w="300" w:type="dxa"/>
            <w:vAlign w:val="bottom"/>
          </w:tcPr>
          <w:p>
            <w:pPr>
              <w:spacing w:after="0"/>
              <w:rPr>
                <w:sz w:val="14"/>
                <w:szCs w:val="14"/>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Right Holder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Partner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up to $5.25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up to $6.0375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above $ 6.0375 up to $6.5625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above $6.5625 up to $7.875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320" w:type="dxa"/>
            <w:vAlign w:val="bottom"/>
            <w:gridSpan w:val="2"/>
          </w:tcPr>
          <w:p>
            <w:pPr>
              <w:ind w:left="1760"/>
              <w:spacing w:after="0"/>
              <w:rPr>
                <w:sz w:val="20"/>
                <w:szCs w:val="20"/>
                <w:color w:val="auto"/>
              </w:rPr>
            </w:pPr>
            <w:r>
              <w:rPr>
                <w:rFonts w:ascii="Arial" w:cs="Arial" w:eastAsia="Arial" w:hAnsi="Arial"/>
                <w:sz w:val="18"/>
                <w:szCs w:val="18"/>
                <w:color w:val="auto"/>
              </w:rPr>
              <w:t>23%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above $7.875</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50 %</w:t>
            </w:r>
          </w:p>
        </w:tc>
        <w:tc>
          <w:tcPr>
            <w:tcW w:w="23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2019, Navios Holdings sold the general partnership interests in the Company to N Shipmanagement Acquisition Corp., and related entities, an entity affiliated with the Company’s Chairman and Chief Executive Officer. The incentive distribution rights remained with Navios GP L.L.C.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Vessel operating expenses (management fees): </w:t>
      </w:r>
      <w:r>
        <w:rPr>
          <w:rFonts w:ascii="Arial" w:cs="Arial" w:eastAsia="Arial" w:hAnsi="Arial"/>
          <w:sz w:val="17"/>
          <w:szCs w:val="17"/>
          <w:color w:val="auto"/>
        </w:rPr>
        <w:t>Pursuant to the amended Management Agreement in each of October 2013, August 2014, February 2015,</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2016 and November 2017, the Manager provided commercial and technical management services to Navios Partners’ vessels for a daily fee (excluding drydocking expenses, which were reimbursed at cost by Navios Partners) of: (a) $4,225 daily rate per Ultra-Handymax vessel; (b) $4,325 daily rate per Panamax vessel; (c) $5,250 daily rate per Capesize vessel; (d) $6,700 daily rate per Containership of TEU 6,800; (e) $7,400 daily rate per Containership of more than TEU 8,000; and (f) $8,750 daily rate per very large Containership of more than TEU 13,000 through December 2019. These fixed daily fees cover our vessels’ operating expenses, other than certain extraordinary fees and costs.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2019, Navios Partners extended the duration of its Management Agreement with the Manager until January 1, 2025. In addition, management fees are fixed for two years commencing from January 1, 2020 at: (a) $4,450 daily per Panamax Vessel; (b) $4,350 daily per Ultra-Handymax Vessel; (c) $5,410 daily per Capesize Vessel; and (d) $6,900 daily per 6,800 TEU Containership. The agreement also provides for a technical and commercial management fee of $50 per day per vessel and an annual increase of 3% after January 1, 2022 unless agreed otherwise.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liquidation of Navios Europe I, Navios Partners acquired three Sub-Panamax and two Panamax Containerships. As per the Management Agreement, as amended in December 2019, management fees are fixed for two years commencing from January 1, 2020 at $6,100 daily per Sub-Panamax/Panamax Containership. The agreement also provides for a technical and commercial management fee of $50 per day per vessel and an annual increase of 3% after January 1, 2022 for the remaining period unless agreed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Drydocking expenses are reimbursed at cost for all vessels.</w:t>
      </w:r>
    </w:p>
    <w:p>
      <w:pPr>
        <w:sectPr>
          <w:pgSz w:w="11900" w:h="16838" w:orient="portrait"/>
          <w:cols w:equalWidth="0" w:num="1">
            <w:col w:w="11240"/>
          </w:cols>
          <w:pgMar w:left="320" w:top="247" w:right="339" w:bottom="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For the three and six month periods ended June 30, 2020 certain extraordinary fees and costs related to vessels’ regulatory requirements including ballast water treatment system installation and exhaust gas cleaning system installation, under the Company’s management agreement amounted to $1.3 million and $1.5 million, respectively, and are presented under “Acquisition of/additions to vessels” in the condensed Consolidated Statements of Cash Flow. For the three and six month periods ended June 30, 2019 certain extraordinary fees and costs related to vessels’ regulatory requirements including ballast water treatment system installation and exhaust gas cleaning system installation, under the Company’s management agreement amounted to $3.3 million and $5.8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Total vessel operating expenses for each of the three and six month periods ended June 30, 2020 amounted to $21.9 million and $44.1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vessel operating expenses for each of the three and six month periods ended June 30, 2019 amounted to $16.5 million and $33.1 million, respectively.</w:t>
      </w:r>
    </w:p>
    <w:p>
      <w:pPr>
        <w:spacing w:after="0" w:line="23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General and administrative expenses: </w:t>
      </w:r>
      <w:r>
        <w:rPr>
          <w:rFonts w:ascii="Arial" w:cs="Arial" w:eastAsia="Arial" w:hAnsi="Arial"/>
          <w:sz w:val="17"/>
          <w:szCs w:val="17"/>
          <w:color w:val="auto"/>
        </w:rPr>
        <w:t>Pursuant to the Administrative Services Agreement, the Manager also provides administrative services to Navios</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Navios Partners extended the duration of its existing Administrative Services Agreement with the Manager, until December 31, 2022. In August 2019, Navios Partners extended the duration of its existing administrative services agreement with the Manager until January 1, 2025, which provide for allocable general and administrative costs.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general and administrative expenses charged by the Manager for each of the three and six month periods ended June 30, 2020 amounted to $3.2 million and $6.4 million, respectively. Total general and administrative expenses charged by the Manager for each of the three and six month periods ended June 30, 2019 amounted to $2.5 million and $5.1 million, respectively.</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Balance due from related parties (excluding Navios Europe II): </w:t>
      </w:r>
      <w:r>
        <w:rPr>
          <w:rFonts w:ascii="Arial" w:cs="Arial" w:eastAsia="Arial" w:hAnsi="Arial"/>
          <w:sz w:val="16"/>
          <w:szCs w:val="16"/>
          <w:color w:val="auto"/>
        </w:rPr>
        <w:t>Balance due from related parties as of June 30, 2020 and December 31, 2019 amounted</w:t>
      </w:r>
      <w:r>
        <w:rPr>
          <w:rFonts w:ascii="Arial" w:cs="Arial" w:eastAsia="Arial" w:hAnsi="Arial"/>
          <w:sz w:val="16"/>
          <w:szCs w:val="16"/>
          <w:b w:val="1"/>
          <w:bCs w:val="1"/>
          <w:color w:val="auto"/>
        </w:rPr>
        <w:t xml:space="preserve"> </w:t>
      </w:r>
      <w:r>
        <w:rPr>
          <w:rFonts w:ascii="Arial" w:cs="Arial" w:eastAsia="Arial" w:hAnsi="Arial"/>
          <w:sz w:val="16"/>
          <w:szCs w:val="16"/>
          <w:color w:val="auto"/>
        </w:rPr>
        <w:t>to $10.7 million and $25.6 million, respectively of which for the year ended December 31, 2019, the current receivable was $11.8 million and the long-term receivable was $13.8 million. The balance mainly consisted of the guarantee claim receivable from the Navios Holdings Guarantee of $10.0 million.</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Balance due to related parties: </w:t>
      </w:r>
      <w:r>
        <w:rPr>
          <w:rFonts w:ascii="Arial" w:cs="Arial" w:eastAsia="Arial" w:hAnsi="Arial"/>
          <w:sz w:val="18"/>
          <w:szCs w:val="18"/>
          <w:color w:val="auto"/>
        </w:rPr>
        <w:t>Balance due to related parties, short-term as of June 30, 2020 and December 31, 2019 amounted to $26.0 million and $0,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mainly consisted of payables to the Manager.</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Balance due from Navios Europe II: </w:t>
      </w:r>
      <w:r>
        <w:rPr>
          <w:rFonts w:ascii="Arial" w:cs="Arial" w:eastAsia="Arial" w:hAnsi="Arial"/>
          <w:sz w:val="17"/>
          <w:szCs w:val="17"/>
          <w:color w:val="auto"/>
        </w:rPr>
        <w:t>Navios Holdings, Navios Maritime Acquisition Corporation (“Navios Acquisition”) and Navios Partners have made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Navios Europe II revolving loans of up to $43.5 million to fund working capital requirements (collectively, the “Navios Revolving Loans II”). In March 2017, the availability under the Navios Revolving Loans II was increased by $14.0 million (see Note 14 - Investment in Affiliates).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21, 2020, Navios Europe II agreed with the lender to fully release the liabilities under the junior participating loan facility for $5.0 million. Navios Europe II owned seven container vessels and seven dry bulk vessels. Navios Partners had a net receivable of approximately $17.3 million from Navios Europe II.</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March 31, 2020, the decline in the fair value of the investment was considered as other-than-temporary and, therefore, an aggregate loss of $6.9 million was recognized and included in the accompanying condensed Consolidated Statements of Income for the six month period ended June 30, 2020, as “Impairment of receivable in affiliated company”. The fair value of the Company’s investment was determined based on the liquidation value of Navios Europe II, including the individual fair values assigned to the assets and liabilities of Navios Europe II.</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2020, an agreement was reached to liquidate Navios Europe II before its original expiring date. The transaction was completed on June 29,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Europe II liquidation Navios Partners acquired 100% of the stock of the five vessels owning Companies owning the dry bulk vessels of Navios Europe II with a fair value of $56.1 million and working capital balances of $(2.7) million. The purchase was funded through a new financing agreement (Note 6—Borrowings) and cash on hand for total of $36.1 million and the satisfaction of its receivable balances in the amount of approximately $17.3 million representing the Revolving Loan, Term Loan and accrued interest thereof directly owned to Navios Partners, previously presented under the captions “Amounts due/to from related parties” and “Loans receivable from affiliates”.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Liquidation of Navios Europe II, there was no balance due from Navios Europe II as of June 30, 2020. As of December 31, 2019, Navios Partners' portion of the outstanding amount relating to the portion of the investment in Navios Europe II (5.0% of the $14.0 million) was $0.7 million, under the caption "Investment in affiliates" and the outstanding amount relating to the Navios Revolving Loans II capital was $15.4 million, under the caption "Loans receivable from affiliates". The accrued interest income earned under the Navios Revolving Loans II was $7.3 million under the caption "Balance due from related parties" and the accrued interest income earned under the Navios Term Loans II was $0.8 million under the caption "Loans receivable from affiliates".</w:t>
      </w:r>
    </w:p>
    <w:p>
      <w:pPr>
        <w:spacing w:after="0" w:line="3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Note receivable from affiliates: </w:t>
      </w:r>
      <w:r>
        <w:rPr>
          <w:rFonts w:ascii="Arial" w:cs="Arial" w:eastAsia="Arial" w:hAnsi="Arial"/>
          <w:sz w:val="17"/>
          <w:szCs w:val="17"/>
          <w:color w:val="auto"/>
        </w:rPr>
        <w:t>On March 17, 2017, Navios Holdings transferred to Navios Partners its rights to the fixed 12.7% interest on the Navios</w:t>
      </w:r>
      <w:r>
        <w:rPr>
          <w:rFonts w:ascii="Arial" w:cs="Arial" w:eastAsia="Arial" w:hAnsi="Arial"/>
          <w:sz w:val="17"/>
          <w:szCs w:val="17"/>
          <w:b w:val="1"/>
          <w:bCs w:val="1"/>
          <w:color w:val="auto"/>
        </w:rPr>
        <w:t xml:space="preserve"> </w:t>
      </w:r>
      <w:r>
        <w:rPr>
          <w:rFonts w:ascii="Arial" w:cs="Arial" w:eastAsia="Arial" w:hAnsi="Arial"/>
          <w:sz w:val="17"/>
          <w:szCs w:val="17"/>
          <w:color w:val="auto"/>
        </w:rPr>
        <w:t>Europe I Navios Term Loans I and Navios Revolving Loans I (including the respective accrued receivable interest) in the amount of $33.5 million, which included a cash consideration of $4.1 million and 871,795 newly issued common units of Navios Partners, on a split adjusted basis. At the date of this transaction, the Company recognized a receivable at the fair value of its newly issued common units totaling $29.4 million based on the closing price of $33.75 per unit as of March 16, 2017 given as consideration. The receivable relating to the consideration settled with the issuance of 871,795 Navios Partners’ common units in the amount of $29.4 million has been classified contra equity. The receivable from Navios Holdings was payable on maturity in December 2023. Interest would accrue through maturity and would be recognized within “Interest income” for the receivable relating to the cash consideration of $4.1 million. On October 23, 2019, Navios Partners’ Conflicts Committee agreed to cancel an amortizing penalty from Navios Holdings of approximately $3.2 million as of December 2019, due to early liquidation of the structure. Following the liquidation of Navios Europe I, the long-term note receivable from Navios Holdings amounted to $0.</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Navios Partners has entered into an omnibus agreement with Navios Holdings (the “Partners Omnibus Agreement”) in connection with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of 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w:t>
      </w:r>
    </w:p>
    <w:p>
      <w:pPr>
        <w:sectPr>
          <w:pgSz w:w="11900" w:h="16838" w:orient="portrait"/>
          <w:cols w:equalWidth="0" w:num="1">
            <w:col w:w="11240"/>
          </w:cols>
          <w:pgMar w:left="320" w:top="125" w:right="339" w:bottom="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to acquire, charter-in or own liquid shipment vessels, except for containerships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Navios Maritime Midstream Partners L.P. (“Navios Midstream”) initial public offering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Navios Containers private placement and listing on the Norwegian over-the-counter market effective June 8, 2017, Navios Partners entered into an omnibus agreement with Navios Containers, Navios Holdings, Navios Acquisition and Navios Midstream (the “Navios Containers Omnibus Agreement”), pursuant to which Navios Partners, Navios Holdings, Navios Acquisition and Navios Midstream have granted to Navios Containers a right of first refusal over any containerships to be sold or acquired in the future. The omnibus agreement contains significant exceptions that will allow Navios Partners, Navios Holdings, Navios Acquisition and Navios Midstream to compete with Navios Containers under specified circumstances.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Navios Holdings Guarantee: </w:t>
      </w:r>
      <w:r>
        <w:rPr>
          <w:rFonts w:ascii="Arial" w:cs="Arial" w:eastAsia="Arial" w:hAnsi="Arial"/>
          <w:sz w:val="18"/>
          <w:szCs w:val="18"/>
          <w:color w:val="auto"/>
        </w:rPr>
        <w:t>On November 15, 2012 (as amended and supplemented in March 2014, December 2017 and July 2019), Navios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Navios Partners entered into an agreement (the “Navios Holdings Guarantee”) by which Navios Holdings would provide supplemental credit default insurance with a maximum cash payment of $20.0 million. As of June 30, 2020, the outstanding claim receivable amounted to $10.0 million. The final settlement of the amount from Navios Holdings will take place at specific dates, in accordance with a signed letter of agreement between the parties. The guarantee claim receivable is presented under the caption “Amounts due from related parties-short term” in the condensed Consolidated Balance Sheets as of June 30, 2020.</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General partner: </w:t>
      </w:r>
      <w:r>
        <w:rPr>
          <w:rFonts w:ascii="Arial" w:cs="Arial" w:eastAsia="Arial" w:hAnsi="Arial"/>
          <w:sz w:val="18"/>
          <w:szCs w:val="18"/>
          <w:color w:val="auto"/>
        </w:rPr>
        <w:t>In August 2019, Navios Holdings announced that it sold certain assets, including its ship management division and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interest in Navios Partners to N Shipmanagement Acquisition Corp. and related entities, affiliated with Navios Holdings’ Chairman and Chief Executive Officer, Angeliki Frangou.</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Acquisition of vessels: </w:t>
      </w:r>
      <w:r>
        <w:rPr>
          <w:rFonts w:ascii="Arial" w:cs="Arial" w:eastAsia="Arial" w:hAnsi="Arial"/>
          <w:sz w:val="18"/>
          <w:szCs w:val="18"/>
          <w:color w:val="auto"/>
        </w:rPr>
        <w:t>On November 25, 2019, Navios Partners entered into a share purchase agreement for the acquisition of three Panamax and one</w:t>
      </w:r>
      <w:r>
        <w:rPr>
          <w:rFonts w:ascii="Arial" w:cs="Arial" w:eastAsia="Arial" w:hAnsi="Arial"/>
          <w:sz w:val="18"/>
          <w:szCs w:val="18"/>
          <w:b w:val="1"/>
          <w:bCs w:val="1"/>
          <w:color w:val="auto"/>
        </w:rPr>
        <w:t xml:space="preserve"> </w:t>
      </w:r>
      <w:r>
        <w:rPr>
          <w:rFonts w:ascii="Arial" w:cs="Arial" w:eastAsia="Arial" w:hAnsi="Arial"/>
          <w:sz w:val="18"/>
          <w:szCs w:val="18"/>
          <w:color w:val="auto"/>
        </w:rPr>
        <w:t>Ultra-handymax drybulk vessels from an entity affiliated with its Chairman and CEO for $37.0 million (plus working capital adjustment) in a transaction approved by the Conflicts Committee of the Board of Directors of Navios Partners. The vessels were acquired on December 13, 2019 (see Note 4 - Vessels, net).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Navios Holdings held an 18.8% common unit interest in Navios Partners, represented by 2,070,216 common units. The General Partner held a general partner interest of 2.1% represented by 230,524 general partner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functional and reporting currency is the U.S. dollar. We engage in worldwide commerce with a variety of entities. Although our operations may expose us to certain levels of foreign currency risk, our transactions are predominantly U.S. dollar denominated. Transactions in currencies other than U.S. dollars are translated at the exchange rate in effect at the date of each transaction. Differences in exchange rates during the period between the date a transaction denominated in a foreign currency is consummated and the date on which it is either settled or translated, are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our credit facilities bear interest at rate based on a premium over U.S. $ LIBOR. Therefore, we are exposed to the risk that our interest expense may increase if interest rates rise. For the six month period ended June 30, 2020 and 2019, we paid interest on our outstanding debt at a weighted average interest rate of 5.04% and 7.29%, respectively. A 1% increase in LIBOR would have increased our interest expense for each of the six month periods ended June 30, 2020 and 2019 by $2.1 million and $2.5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Financial instruments, which potentially subject us to significant concentrations of credit risk, consist principally of trade accounts receivable. We closely monitor our exposure to customers for credit risk. We have policies in place to ensure that we trade with customers with an appropriate credit history.</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 period ended June 30, 2020, one customer, HMM represented approximately 29.0% of total revenues. For the six month period ended June 30, 2019, HMM, Cargill and Swissmarine represented approximately 29.9%, 10.8% and 10.3%, respectively, of total revenues. No other customers accounted for 10% or more of total revenues for any of the periods presented.</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15, 2012 (as amended and supplemented in March 2014, December 2017 and July 2019), Navios Holdings and Navios Partners entered into the Navios Holdings Guarantee by which Navios Holdings would provide supplemental credit default insurance with a maximum cash payment of $20.0 million. As of June 30, 2020, the outstanding claim receivable amounted to $10.0 million. The final settlement of the amount from Navios Holdings will take place at specific dates, in accordance with a signed letter of agreement between the parties. The guarantee claim receivable is presented under the caption “Amounts due from related parties-short term” in the condensed Consolidated Balance Sheets as of June 30, 2020.</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acquisition period, and we may be unable to charter any replacement vessel on terms as favorable to us as those of the terminated charter.</w:t>
      </w:r>
    </w:p>
    <w:p>
      <w:pPr>
        <w:spacing w:after="0" w:line="1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w:t>
      </w:r>
    </w:p>
    <w:p>
      <w:pPr>
        <w:sectPr>
          <w:pgSz w:w="11900" w:h="16838" w:orient="portrait"/>
          <w:cols w:equalWidth="0" w:num="1">
            <w:col w:w="11240"/>
          </w:cols>
          <w:pgMar w:left="320" w:top="125" w:right="339" w:bottom="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t>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in the event we are unable to replace such customer, time charter or vessel. For further details, please read “Risk Factors” in our 2019 Annual Report on Form 20-F.</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has had a minimal impact on vessel operating expenses, drydocking expenses and general and administrative expenses. Our management does not consider inflation to be a significant risk to direct expenses in the current and foreseeable economic environment.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recent accounting pronouncements are included in the accompanying notes to the unaudited condensed consolidated financial statements included elsewhere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financial statements have been prepared in accordance with U.S. GAAP. The preparation of these financial statements requires us to make estimates in the application of our accounting policies based on the best assumptions, judgments and opinions of management. Following is a discussion of the accounting policies that involve a higher degree of judgment and the methods of their application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ind w:right="120"/>
        <w:spacing w:after="0" w:line="266" w:lineRule="auto"/>
        <w:rPr>
          <w:sz w:val="20"/>
          <w:szCs w:val="20"/>
          <w:color w:val="auto"/>
        </w:rPr>
      </w:pPr>
      <w:r>
        <w:rPr>
          <w:rFonts w:ascii="Arial" w:cs="Arial" w:eastAsia="Arial" w:hAnsi="Arial"/>
          <w:sz w:val="16"/>
          <w:szCs w:val="16"/>
          <w:color w:val="auto"/>
        </w:rPr>
        <w:t>Critical accounting policies are those that reflect significant judgments or uncertainties, and potentially result in materially different results under different assumptions and conditions. Other than as described below, all significant accounting policies are as described in Note 2 to the Notes to the consolidated financial statements included in the Company’s Annual Report on Form 20-F for the year ended December 31, 2019 filed with the SEC on April 1, 2020.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Arial" w:cs="Arial" w:eastAsia="Arial" w:hAnsi="Arial"/>
                <w:sz w:val="18"/>
                <w:szCs w:val="18"/>
                <w:b w:val="1"/>
                <w:bCs w:val="1"/>
                <w:color w:val="auto"/>
              </w:rPr>
              <w:t>NAVIOS MARITIME PARTNERS L.P.</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5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0560" w:type="dxa"/>
            <w:vAlign w:val="bottom"/>
          </w:tcPr>
          <w:p>
            <w:pPr>
              <w:spacing w:after="0"/>
              <w:rPr>
                <w:sz w:val="20"/>
                <w:szCs w:val="20"/>
                <w:color w:val="auto"/>
              </w:rPr>
            </w:pPr>
            <w:r>
              <w:rPr>
                <w:rFonts w:ascii="Arial" w:cs="Arial" w:eastAsia="Arial" w:hAnsi="Arial"/>
                <w:sz w:val="18"/>
                <w:szCs w:val="18"/>
                <w:color w:val="auto"/>
              </w:rPr>
              <w:t>UNAUDITED CONDENSED CONSOLIDATED BALANCE SHEETS AT JUNE 30, 2020 AND DECEMBER 31, 2019</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UNAUDITED CONDENSED CONSOLIDATED STATEMENTS OF OPERATIONS FOR THE THREE AND SIX MONTH PERIODS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ENDED JUNE 30, 2020 AND 2019</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w w:val="97"/>
              </w:rPr>
              <w:t>UNAUDITED CONDENSED CONSOLIDATED STATEMENTS OF CASH FLOWS FOR THE SIX MONTH PERIODS ENDED JUNE 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2020 AND 2019</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w w:val="99"/>
              </w:rPr>
              <w:t>UNAUDITED CONDENSED CONSOLIDATED STATEMENTS OF CHANGES IN PARTNERS’ CAPITAL FOR THE THREE AND SIX</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MONTH PERIODS ENDED JUNE 30, 2020 AND 2019</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432"/>
        </w:trPr>
        <w:tc>
          <w:tcPr>
            <w:tcW w:w="10560" w:type="dxa"/>
            <w:vAlign w:val="bottom"/>
          </w:tcPr>
          <w:p>
            <w:pPr>
              <w:spacing w:after="0"/>
              <w:rPr>
                <w:sz w:val="20"/>
                <w:szCs w:val="20"/>
                <w:color w:val="auto"/>
              </w:rPr>
            </w:pPr>
            <w:r>
              <w:rPr>
                <w:rFonts w:ascii="Arial" w:cs="Arial" w:eastAsia="Arial" w:hAnsi="Arial"/>
                <w:sz w:val="18"/>
                <w:szCs w:val="18"/>
                <w:color w:val="auto"/>
              </w:rPr>
              <w:t>CONDENSED NOTES TO THE CONSOLIDATED FINANCIAL STATEMENTS (UNAUDITED)</w:t>
            </w:r>
          </w:p>
        </w:tc>
        <w:tc>
          <w:tcPr>
            <w:tcW w:w="580" w:type="dxa"/>
            <w:vAlign w:val="bottom"/>
          </w:tcPr>
          <w:p>
            <w:pPr>
              <w:ind w:left="32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tcPr>
          <w:p>
            <w:pPr>
              <w:spacing w:after="0"/>
              <w:rPr>
                <w:sz w:val="12"/>
                <w:szCs w:val="12"/>
                <w:color w:val="auto"/>
              </w:rPr>
            </w:pPr>
          </w:p>
        </w:tc>
        <w:tc>
          <w:tcPr>
            <w:tcW w:w="7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0"/>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23,354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Restricted cash</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10,722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19,108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Notes receivable</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37"/>
        </w:trPr>
        <w:tc>
          <w:tcPr>
            <w:tcW w:w="8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67,626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75,990</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640" w:type="dxa"/>
            <w:vAlign w:val="bottom"/>
          </w:tcPr>
          <w:p>
            <w:pPr>
              <w:spacing w:after="0"/>
              <w:rPr>
                <w:sz w:val="20"/>
                <w:szCs w:val="20"/>
                <w:color w:val="auto"/>
              </w:rPr>
            </w:pPr>
            <w:r>
              <w:rPr>
                <w:rFonts w:ascii="Arial" w:cs="Arial" w:eastAsia="Arial" w:hAnsi="Arial"/>
                <w:sz w:val="18"/>
                <w:szCs w:val="18"/>
                <w:color w:val="auto"/>
              </w:rPr>
              <w:t>Vessels, net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1,086,310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1,062,258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Deferred dry dock and special survey costs, net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30,922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26,469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16,192</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net of current portion</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37"/>
        </w:trPr>
        <w:tc>
          <w:tcPr>
            <w:tcW w:w="8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1,179,971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1,177,527</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1,247,597</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1,253,517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Operating lease liabilities, current portion</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financial liabilities, net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Current portion of long-term debt, net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87,507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53,966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141,210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79,784</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12,588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Long-term financial liabilities, net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59,707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82,794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346,454</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Deferred revenue</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36"/>
        </w:trPr>
        <w:tc>
          <w:tcPr>
            <w:tcW w:w="8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409,981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445,714</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551,191</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525,498</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Unitholders (10,987,679 units issued and outstanding at June 30, 2020 and December 31, 2019,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692,751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723,720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w w:val="97"/>
              </w:rPr>
              <w:t>General Partner (230,524 units issued and outstanding at June 30, 2020 and December 31, 2019, respectively)</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696,406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728,019</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1,247,597</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1,253,517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Three Month</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Six Month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Six Month</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2"/>
                <w:szCs w:val="12"/>
                <w:color w:val="auto"/>
              </w:rPr>
            </w:pP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June 30, 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charter and voyage revenues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46,549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47,745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93,039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94,563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(1,940)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(5,038)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Vessel operating expenses (management fees entirely through</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related parties transactions)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(21,930)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(16,496)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(44,135)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(33,106)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(13,663)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(13,240)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(27,300)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(26,732)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 net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4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(14,641)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(6,523)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(25,365)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(16,046</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Loss per unit (see note 15):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50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Three Month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Six Month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Six Month</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2"/>
                <w:szCs w:val="12"/>
                <w:color w:val="auto"/>
              </w:rPr>
            </w:pP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June 30, 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per unit:</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4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Six Month</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Notes</w:t>
            </w:r>
          </w:p>
        </w:tc>
        <w:tc>
          <w:tcPr>
            <w:tcW w:w="14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(25,365)</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(16,046)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provided by operating activities: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27,300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Impairment of receivable in affiliated company</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 cash accrued interest income and amortization of deferred revenue</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Non cash accrued interest income from receivable from affiliates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operating lease right-of-use asset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Amortization and write-off of deferred financing cost and discount</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dry dock and special survey costs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receivable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in prepaid expenses and other current 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accounts payable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in accrued expenses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deferred revenue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Decrease in amounts due from related parties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14,860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amounts due to related parties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Payments for dry dock and special survey costs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(9,341)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short and long-term</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47,675</w:t>
            </w:r>
          </w:p>
        </w:tc>
        <w:tc>
          <w:tcPr>
            <w:tcW w:w="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14,426</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cash proceeds from sale of vessels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Deposit for option to acquire vessel</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Acquisition of/ additions to vessels, net of cash acquired</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(37,573)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notes receivable</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(39,664)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(1,636)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paid</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proceeds from issuance of general partner units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70,765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Repayment of long-term debt and financial liabilities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(47,927)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(96,733)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(8,598</w:t>
            </w: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0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(587</w:t>
            </w: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(26,235)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30,402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61,455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29,815</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35,220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Six Month</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Six Month</w:t>
            </w:r>
          </w:p>
        </w:tc>
      </w:tr>
      <w:tr>
        <w:trPr>
          <w:trHeight w:val="148"/>
        </w:trPr>
        <w:tc>
          <w:tcPr>
            <w:tcW w:w="5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Period Ended</w:t>
            </w:r>
          </w:p>
        </w:tc>
      </w:tr>
      <w:tr>
        <w:trPr>
          <w:trHeight w:val="148"/>
        </w:trPr>
        <w:tc>
          <w:tcPr>
            <w:tcW w:w="5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48"/>
        </w:trPr>
        <w:tc>
          <w:tcPr>
            <w:tcW w:w="5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r>
      <w:tr>
        <w:trPr>
          <w:trHeight w:val="171"/>
        </w:trPr>
        <w:tc>
          <w:tcPr>
            <w:tcW w:w="5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(unaudited)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interest paid</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13,053</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18,724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financing activities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483</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deferred financing costs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Non cash investing activities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loan receivable from affiliates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(9,992)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vessels</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19,997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692" w:right="33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CONDENSED CONSOLIDATED STATEMENTS OF CHANGES IN PARTNERS’ CAPITAL</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except unit data)</w:t>
      </w:r>
    </w:p>
    <w:p>
      <w:pPr>
        <w:sectPr>
          <w:pgSz w:w="11900" w:h="16838" w:orient="portrait"/>
          <w:cols w:equalWidth="0" w:num="1">
            <w:col w:w="11140"/>
          </w:cols>
          <w:pgMar w:left="320" w:top="133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2018</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 paid ($0.30 per unit—see Note 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treasury stock (see Note 8)</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Issuance of restricted common units (see Note 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(see Note 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March 31, 2019</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 paid ($0.30 per unit—see Note 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treasury stock (see Note 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(see Note 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Issuance of capital surplus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December 31, 2019</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 paid ($0.30 per unit—see 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(see Note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March 31, 2020</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 paid ($0.30 per unit—see 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(see Note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June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Limited Partners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rPr>
              <w:t>General Partner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gridSpan w:val="7"/>
          </w:tcPr>
          <w:p>
            <w:pPr>
              <w:jc w:val="right"/>
              <w:ind w:right="236"/>
              <w:spacing w:after="0"/>
              <w:rPr>
                <w:sz w:val="20"/>
                <w:szCs w:val="20"/>
                <w:color w:val="auto"/>
              </w:rPr>
            </w:pPr>
            <w:r>
              <w:rPr>
                <w:rFonts w:ascii="Arial" w:cs="Arial" w:eastAsia="Arial" w:hAnsi="Arial"/>
                <w:sz w:val="14"/>
                <w:szCs w:val="14"/>
                <w:b w:val="1"/>
                <w:bCs w:val="1"/>
                <w:color w:val="auto"/>
              </w:rPr>
              <w:t>Common Unitholders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Note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Navios</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10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jc w:val="right"/>
              <w:ind w:right="36"/>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gridSpan w:val="3"/>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Receivable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230,006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11,270,283</w:t>
            </w:r>
          </w:p>
        </w:tc>
        <w:tc>
          <w:tcPr>
            <w:tcW w:w="980" w:type="dxa"/>
            <w:vAlign w:val="bottom"/>
            <w:gridSpan w:val="5"/>
          </w:tcPr>
          <w:p>
            <w:pPr>
              <w:jc w:val="right"/>
              <w:spacing w:after="0"/>
              <w:rPr>
                <w:sz w:val="20"/>
                <w:szCs w:val="20"/>
                <w:color w:val="auto"/>
              </w:rPr>
            </w:pPr>
            <w:r>
              <w:rPr>
                <w:rFonts w:ascii="Arial" w:cs="Arial" w:eastAsia="Arial" w:hAnsi="Arial"/>
                <w:sz w:val="18"/>
                <w:szCs w:val="18"/>
                <w:b w:val="1"/>
                <w:bCs w:val="1"/>
                <w:color w:val="auto"/>
              </w:rPr>
              <w:t>$ 800,374</w:t>
            </w:r>
          </w:p>
        </w:tc>
        <w:tc>
          <w:tcPr>
            <w:tcW w:w="1000" w:type="dxa"/>
            <w:vAlign w:val="bottom"/>
            <w:gridSpan w:val="7"/>
          </w:tcPr>
          <w:p>
            <w:pPr>
              <w:jc w:val="right"/>
              <w:spacing w:after="0"/>
              <w:rPr>
                <w:sz w:val="20"/>
                <w:szCs w:val="20"/>
                <w:color w:val="auto"/>
              </w:rPr>
            </w:pPr>
            <w:r>
              <w:rPr>
                <w:rFonts w:ascii="Arial" w:cs="Arial" w:eastAsia="Arial" w:hAnsi="Arial"/>
                <w:sz w:val="18"/>
                <w:szCs w:val="18"/>
                <w:b w:val="1"/>
                <w:bCs w:val="1"/>
                <w:color w:val="auto"/>
              </w:rPr>
              <w:t>$(29,423)</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8"/>
              </w:rPr>
              <w:t>776,753</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(3,389)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(227,140)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(3,373)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25,396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(9,335)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230,524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11,068,539</w:t>
            </w:r>
          </w:p>
        </w:tc>
        <w:tc>
          <w:tcPr>
            <w:tcW w:w="980" w:type="dxa"/>
            <w:vAlign w:val="bottom"/>
            <w:gridSpan w:val="5"/>
          </w:tcPr>
          <w:p>
            <w:pPr>
              <w:jc w:val="right"/>
              <w:spacing w:after="0"/>
              <w:rPr>
                <w:sz w:val="20"/>
                <w:szCs w:val="20"/>
                <w:color w:val="auto"/>
              </w:rPr>
            </w:pPr>
            <w:r>
              <w:rPr>
                <w:rFonts w:ascii="Arial" w:cs="Arial" w:eastAsia="Arial" w:hAnsi="Arial"/>
                <w:sz w:val="18"/>
                <w:szCs w:val="18"/>
                <w:b w:val="1"/>
                <w:bCs w:val="1"/>
                <w:color w:val="auto"/>
              </w:rPr>
              <w:t>$ 784,771</w:t>
            </w:r>
          </w:p>
        </w:tc>
        <w:tc>
          <w:tcPr>
            <w:tcW w:w="1000" w:type="dxa"/>
            <w:vAlign w:val="bottom"/>
            <w:gridSpan w:val="7"/>
          </w:tcPr>
          <w:p>
            <w:pPr>
              <w:jc w:val="right"/>
              <w:spacing w:after="0"/>
              <w:rPr>
                <w:sz w:val="20"/>
                <w:szCs w:val="20"/>
                <w:color w:val="auto"/>
              </w:rPr>
            </w:pPr>
            <w:r>
              <w:rPr>
                <w:rFonts w:ascii="Arial" w:cs="Arial" w:eastAsia="Arial" w:hAnsi="Arial"/>
                <w:sz w:val="18"/>
                <w:szCs w:val="18"/>
                <w:b w:val="1"/>
                <w:bCs w:val="1"/>
                <w:color w:val="auto"/>
              </w:rPr>
              <w:t>$(29,423)</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8"/>
              </w:rPr>
              <w:t>760,901</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(3,295)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(85,812)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(1,126)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4"/>
          </w:tcPr>
          <w:p>
            <w:pPr>
              <w:jc w:val="center"/>
              <w:ind w:left="1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(6,394)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230,524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10,983,785</w:t>
            </w:r>
          </w:p>
        </w:tc>
        <w:tc>
          <w:tcPr>
            <w:tcW w:w="980" w:type="dxa"/>
            <w:vAlign w:val="bottom"/>
            <w:gridSpan w:val="5"/>
          </w:tcPr>
          <w:p>
            <w:pPr>
              <w:jc w:val="right"/>
              <w:spacing w:after="0"/>
              <w:rPr>
                <w:sz w:val="20"/>
                <w:szCs w:val="20"/>
                <w:color w:val="auto"/>
              </w:rPr>
            </w:pPr>
            <w:r>
              <w:rPr>
                <w:rFonts w:ascii="Arial" w:cs="Arial" w:eastAsia="Arial" w:hAnsi="Arial"/>
                <w:sz w:val="18"/>
                <w:szCs w:val="18"/>
                <w:b w:val="1"/>
                <w:bCs w:val="1"/>
                <w:color w:val="auto"/>
              </w:rPr>
              <w:t>$ 774,475</w:t>
            </w:r>
          </w:p>
        </w:tc>
        <w:tc>
          <w:tcPr>
            <w:tcW w:w="1000" w:type="dxa"/>
            <w:vAlign w:val="bottom"/>
            <w:gridSpan w:val="7"/>
          </w:tcPr>
          <w:p>
            <w:pPr>
              <w:jc w:val="right"/>
              <w:spacing w:after="0"/>
              <w:rPr>
                <w:sz w:val="20"/>
                <w:szCs w:val="20"/>
                <w:color w:val="auto"/>
              </w:rPr>
            </w:pPr>
            <w:r>
              <w:rPr>
                <w:rFonts w:ascii="Arial" w:cs="Arial" w:eastAsia="Arial" w:hAnsi="Arial"/>
                <w:sz w:val="18"/>
                <w:szCs w:val="18"/>
                <w:b w:val="1"/>
                <w:bCs w:val="1"/>
                <w:color w:val="auto"/>
              </w:rPr>
              <w:t>$(29,423)</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8"/>
              </w:rPr>
              <w:t>750,407</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7"/>
              </w:rPr>
              <w:t>Limited Partners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rPr>
              <w:t>General Partner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rPr>
              <w:t>Common Unitholders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6"/>
          </w:tcPr>
          <w:p>
            <w:pPr>
              <w:ind w:left="200"/>
              <w:spacing w:after="0" w:line="149" w:lineRule="exact"/>
              <w:rPr>
                <w:sz w:val="20"/>
                <w:szCs w:val="20"/>
                <w:color w:val="auto"/>
              </w:rPr>
            </w:pPr>
            <w:r>
              <w:rPr>
                <w:rFonts w:ascii="Arial" w:cs="Arial" w:eastAsia="Arial" w:hAnsi="Arial"/>
                <w:sz w:val="14"/>
                <w:szCs w:val="14"/>
                <w:b w:val="1"/>
                <w:bCs w:val="1"/>
                <w:color w:val="auto"/>
              </w:rPr>
              <w:t>Navios</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6"/>
          </w:tcPr>
          <w:p>
            <w:pPr>
              <w:jc w:val="right"/>
              <w:ind w:right="300"/>
              <w:spacing w:after="0" w:line="149" w:lineRule="exact"/>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6"/>
          </w:tcPr>
          <w:p>
            <w:pPr>
              <w:ind w:left="18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3"/>
        </w:trPr>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3"/>
          </w:tcPr>
          <w:p>
            <w:pPr>
              <w:jc w:val="center"/>
              <w:ind w:left="93"/>
              <w:spacing w:after="0"/>
              <w:rPr>
                <w:sz w:val="20"/>
                <w:szCs w:val="20"/>
                <w:color w:val="auto"/>
              </w:rPr>
            </w:pPr>
            <w:r>
              <w:rPr>
                <w:rFonts w:ascii="Arial" w:cs="Arial" w:eastAsia="Arial" w:hAnsi="Arial"/>
                <w:sz w:val="18"/>
                <w:szCs w:val="18"/>
                <w:b w:val="1"/>
                <w:bCs w:val="1"/>
                <w:color w:val="auto"/>
                <w:w w:val="89"/>
              </w:rPr>
              <w:t>230,524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4"/>
              </w:rPr>
              <w:t>4,299</w:t>
            </w:r>
          </w:p>
        </w:tc>
        <w:tc>
          <w:tcPr>
            <w:tcW w:w="10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1280" w:type="dxa"/>
            <w:vAlign w:val="bottom"/>
            <w:tcBorders>
              <w:top w:val="single" w:sz="8" w:color="auto"/>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w w:val="86"/>
              </w:rPr>
              <w:t>10,987,679</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723,720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728,019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(3,296)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(10,511)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(10,724)</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89"/>
              </w:rPr>
              <w:t>230,524</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4"/>
          </w:tcPr>
          <w:p>
            <w:pPr>
              <w:ind w:left="220"/>
              <w:spacing w:after="0"/>
              <w:rPr>
                <w:sz w:val="20"/>
                <w:szCs w:val="20"/>
                <w:color w:val="auto"/>
              </w:rPr>
            </w:pPr>
            <w:r>
              <w:rPr>
                <w:rFonts w:ascii="Arial" w:cs="Arial" w:eastAsia="Arial" w:hAnsi="Arial"/>
                <w:sz w:val="18"/>
                <w:szCs w:val="18"/>
                <w:b w:val="1"/>
                <w:bCs w:val="1"/>
                <w:color w:val="auto"/>
              </w:rPr>
              <w:t>4,017</w:t>
            </w:r>
          </w:p>
        </w:tc>
        <w:tc>
          <w:tcPr>
            <w:tcW w:w="1440" w:type="dxa"/>
            <w:vAlign w:val="bottom"/>
            <w:gridSpan w:val="8"/>
          </w:tcPr>
          <w:p>
            <w:pPr>
              <w:ind w:left="640"/>
              <w:spacing w:after="0"/>
              <w:rPr>
                <w:sz w:val="20"/>
                <w:szCs w:val="20"/>
                <w:color w:val="auto"/>
              </w:rPr>
            </w:pPr>
            <w:r>
              <w:rPr>
                <w:rFonts w:ascii="Arial" w:cs="Arial" w:eastAsia="Arial" w:hAnsi="Arial"/>
                <w:sz w:val="18"/>
                <w:szCs w:val="18"/>
                <w:b w:val="1"/>
                <w:bCs w:val="1"/>
                <w:color w:val="auto"/>
                <w:w w:val="86"/>
              </w:rPr>
              <w:t>10,987,679</w:t>
            </w:r>
          </w:p>
        </w:tc>
        <w:tc>
          <w:tcPr>
            <w:tcW w:w="540" w:type="dxa"/>
            <w:vAlign w:val="bottom"/>
            <w:gridSpan w:val="2"/>
          </w:tcPr>
          <w:p>
            <w:pPr>
              <w:jc w:val="right"/>
              <w:ind w:right="196"/>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8"/>
              </w:rPr>
              <w:t>710,158</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714,175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3"/>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4"/>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(3,297)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(14,348)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(14,641)</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4"/>
          </w:tcPr>
          <w:p>
            <w:pPr>
              <w:jc w:val="center"/>
              <w:ind w:left="73"/>
              <w:spacing w:after="0"/>
              <w:rPr>
                <w:sz w:val="20"/>
                <w:szCs w:val="20"/>
                <w:color w:val="auto"/>
              </w:rPr>
            </w:pPr>
            <w:r>
              <w:rPr>
                <w:rFonts w:ascii="Arial" w:cs="Arial" w:eastAsia="Arial" w:hAnsi="Arial"/>
                <w:sz w:val="18"/>
                <w:szCs w:val="18"/>
                <w:b w:val="1"/>
                <w:bCs w:val="1"/>
                <w:color w:val="auto"/>
                <w:w w:val="89"/>
              </w:rPr>
              <w:t>230,524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ind w:left="220"/>
              <w:spacing w:after="0"/>
              <w:rPr>
                <w:sz w:val="20"/>
                <w:szCs w:val="20"/>
                <w:color w:val="auto"/>
              </w:rPr>
            </w:pPr>
            <w:r>
              <w:rPr>
                <w:rFonts w:ascii="Arial" w:cs="Arial" w:eastAsia="Arial" w:hAnsi="Arial"/>
                <w:sz w:val="18"/>
                <w:szCs w:val="18"/>
                <w:b w:val="1"/>
                <w:bCs w:val="1"/>
                <w:color w:val="auto"/>
              </w:rPr>
              <w:t>3,655</w:t>
            </w:r>
          </w:p>
        </w:tc>
        <w:tc>
          <w:tcPr>
            <w:tcW w:w="1440" w:type="dxa"/>
            <w:vAlign w:val="bottom"/>
            <w:gridSpan w:val="8"/>
          </w:tcPr>
          <w:p>
            <w:pPr>
              <w:ind w:left="640"/>
              <w:spacing w:after="0"/>
              <w:rPr>
                <w:sz w:val="20"/>
                <w:szCs w:val="20"/>
                <w:color w:val="auto"/>
              </w:rPr>
            </w:pPr>
            <w:r>
              <w:rPr>
                <w:rFonts w:ascii="Arial" w:cs="Arial" w:eastAsia="Arial" w:hAnsi="Arial"/>
                <w:sz w:val="18"/>
                <w:szCs w:val="18"/>
                <w:b w:val="1"/>
                <w:bCs w:val="1"/>
                <w:color w:val="auto"/>
                <w:w w:val="86"/>
              </w:rPr>
              <w:t>10,987,679</w:t>
            </w:r>
          </w:p>
        </w:tc>
        <w:tc>
          <w:tcPr>
            <w:tcW w:w="540" w:type="dxa"/>
            <w:vAlign w:val="bottom"/>
            <w:gridSpan w:val="2"/>
          </w:tcPr>
          <w:p>
            <w:pPr>
              <w:jc w:val="right"/>
              <w:ind w:right="196"/>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8"/>
              </w:rPr>
              <w:t>692,751</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696,406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-5177155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-4705350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-4396740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-4088130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-3625215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-3316605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-3007995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-1765300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-1302385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-1028065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-574040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-299720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5900"/>
          </w:cols>
          <w:pgMar w:left="320" w:top="1336" w:right="4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See unaudited condensed notes to the condensed consolidated financial statements</w:t>
      </w:r>
    </w:p>
    <w:p>
      <w:pPr>
        <w:sectPr>
          <w:pgSz w:w="11900" w:h="16838" w:orient="portrait"/>
          <w:cols w:equalWidth="0" w:num="1">
            <w:col w:w="11140"/>
          </w:cols>
          <w:pgMar w:left="320" w:top="1336" w:right="4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Navios Maritime Partners L.P. (“Navios Partners” or the “Company”), is an international owner and operator of dry cargo vessels, formed on August 7, 2007 under the laws of the Republic of the Marshall Islands. Navios GP L.L.C., a wholly owned subsidiary of Navios Maritime Holdings Inc. (“Navios Holdings”), was also formed on that date to act as the general partner of Navios Partners. Currently, our general partner is Olympos Maritime Ltd. (the “General Partner”) and holds a 2.1% general partner interest in Navios Partners.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Navios Partners is engaged in the seaborne transportation services of a wide range of dry cargo commodities including iron ore, coal, grain, fertilizer and also containers, chartering its vessels under medium to longer-term charters. The operations of Navios Partners are managed by Navios Shipmanagement Inc., (the “Manager”), from its offices in Piraeus, Greece, Singapore and Monaco.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initial public offering (“IPO”) on November 16, 2007, Navios Partners entered into the following agreements:</w:t>
      </w:r>
    </w:p>
    <w:p>
      <w:pPr>
        <w:spacing w:after="0" w:line="117" w:lineRule="exact"/>
        <w:rPr>
          <w:sz w:val="20"/>
          <w:szCs w:val="20"/>
          <w:color w:val="auto"/>
        </w:rPr>
      </w:pPr>
    </w:p>
    <w:p>
      <w:pPr>
        <w:ind w:right="20" w:firstLine="8"/>
        <w:spacing w:after="0" w:line="277" w:lineRule="auto"/>
        <w:tabs>
          <w:tab w:leader="none" w:pos="2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management agreement with the Manager (the “Management Agreement”), pursuant to which the Manager provides Navios Partners commercial and technical management services;</w:t>
      </w:r>
    </w:p>
    <w:p>
      <w:pPr>
        <w:spacing w:after="0" w:line="62" w:lineRule="exact"/>
        <w:rPr>
          <w:rFonts w:ascii="Arial" w:cs="Arial" w:eastAsia="Arial" w:hAnsi="Arial"/>
          <w:sz w:val="18"/>
          <w:szCs w:val="18"/>
          <w:color w:val="auto"/>
        </w:rPr>
      </w:pPr>
    </w:p>
    <w:p>
      <w:pPr>
        <w:ind w:firstLine="8"/>
        <w:spacing w:after="0" w:line="277" w:lineRule="auto"/>
        <w:tabs>
          <w:tab w:leader="none" w:pos="2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administrative services agreement with the Manager (the “Administrative Services Agreement”), pursuant to which the Manager provides Navios Partners administrative services; and</w:t>
      </w:r>
    </w:p>
    <w:p>
      <w:pPr>
        <w:spacing w:after="0" w:line="62" w:lineRule="exact"/>
        <w:rPr>
          <w:rFonts w:ascii="Arial" w:cs="Arial" w:eastAsia="Arial" w:hAnsi="Arial"/>
          <w:sz w:val="18"/>
          <w:szCs w:val="18"/>
          <w:color w:val="auto"/>
        </w:rPr>
      </w:pPr>
    </w:p>
    <w:p>
      <w:pPr>
        <w:ind w:firstLine="8"/>
        <w:spacing w:after="0" w:line="277"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omnibus agreement with Navios Holdings (the “Omnibus Agreement”), governing, among other things, when Navios Partners and Navios Holdings may compete against each other as well as rights of first offer on certain drybulk carriers.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2019, Navios Holdings announced that it sold certain assets, including its ship management division and the general partnership interest in Navios Partners to N Shipmanagement Acquisition Corp. and related entities, affiliated with our Chairman and Chief Executive Officer.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 2020, there were 10,987,679 outstanding common units and 230,524 general partnership units. Navios Holdings currently owns an 18.8% common unit interest in Navios Partners and the General Partner holds the general partner interest of 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33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accompanying interim condensed consolidated financial statements are unaudited, but, in the opinion of management, reflect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adjustments for a fair statement of Navios Partners’ consolidated balance sheets, statement of partner’s capital, statements of operations and cash flows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Partners’ Annual Report for the year ended December 31, 2019 filed on Form 20-F with the U.S. Securities and Exchange Commission (“SEC”).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2019, the Company’s unitholders approved a 1-for-15 reverse stock split of the Company’s outstanding common and general partner units, which was effected on May 21, 2019. The effect of the reverse stock split was to combine each 15 shares of outstanding units into one new share, with no change in authorized shares or per value per share, and to reduce the number of common units outstanding from approximately 164.7 million units to approximately 11.0 million units. 983 common units were issued in connection with the reverse stock split. All issued and outstanding common units contained in the financial statements, in accordance with Staff Accounting Bulletin Topic 4C, have been retroactively adjusted to reflect the reverse split for all periods presented.</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interim condensed consolidated financial statements include Navios Partners’ wholly 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under the laws of Marshall Islands, Malta, and Liberia from their dates of incorporation or, for chartered-in vessels, from the dates charter-in agreements were in effect. All significant inter-company balances and transactions have been eliminated in Navios Partners’ interim condensed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Navios Partners also consolidates entities that are determined to be variable interest entities (“VIE”) as defined in the accounting guidance, if it determines that it is the primary beneficiary. A VIE is defined as a legal entity where either (i) equity interest holders as a group lack the characteristics of a controlling financial interest, including decision making ability and an interest in the entity’s residual risks and rewards, (ii) the equity holders have not provided sufficient equity investment to permit the entity to finance its activities without additional subordinated financial support, or (iii)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internal forecasts and projections that take into account reasonably possible changes in our trading performance, management believes that the Company has adequate financial resources to continue in operation and meet its financial commitments, including but not limited to capital expenditures and debt service obligations, for a period of at least twelve months from the date of issuance of these consolidated financial statements. Accordingly, the Company continues to adopt the going concern basis in preparing its financial statements.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color w:val="auto"/>
        </w:rPr>
        <w:t>Subsidiaries are those entities in which Navios Partners has an interest of more than one half of the voting rights or otherwise has power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 the financial and operating policies of the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interim condensed consolidated financial statements include the following entities: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40" w:type="dxa"/>
            <w:vAlign w:val="bottom"/>
          </w:tcPr>
          <w:p>
            <w:pPr>
              <w:spacing w:after="0"/>
              <w:rPr>
                <w:sz w:val="13"/>
                <w:szCs w:val="13"/>
                <w:color w:val="auto"/>
              </w:rPr>
            </w:pPr>
          </w:p>
        </w:tc>
        <w:tc>
          <w:tcPr>
            <w:tcW w:w="2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Vessel name</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Country of</w:t>
            </w:r>
          </w:p>
        </w:tc>
        <w:tc>
          <w:tcPr>
            <w:tcW w:w="144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3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5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incorporation</w:t>
            </w:r>
          </w:p>
        </w:tc>
        <w:tc>
          <w:tcPr>
            <w:tcW w:w="1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tcBorders>
              <w:top w:val="single" w:sz="8" w:color="CCEEFF"/>
            </w:tcBorders>
            <w:shd w:val="clear" w:color="auto" w:fill="CCEEFF"/>
          </w:tcPr>
          <w:p>
            <w:pPr>
              <w:spacing w:after="0" w:line="230" w:lineRule="exact"/>
              <w:rPr>
                <w:sz w:val="20"/>
                <w:szCs w:val="20"/>
                <w:color w:val="auto"/>
              </w:rPr>
            </w:pPr>
            <w:r>
              <w:rPr>
                <w:rFonts w:ascii="Arial" w:cs="Arial" w:eastAsia="Arial" w:hAnsi="Arial"/>
                <w:sz w:val="18"/>
                <w:szCs w:val="18"/>
                <w:color w:val="auto"/>
              </w:rPr>
              <w:t>Libra Shipping Enterprises Corporation</w:t>
            </w:r>
            <w:r>
              <w:rPr>
                <w:rFonts w:ascii="Arial" w:cs="Arial" w:eastAsia="Arial" w:hAnsi="Arial"/>
                <w:sz w:val="25"/>
                <w:szCs w:val="25"/>
                <w:color w:val="auto"/>
                <w:vertAlign w:val="superscript"/>
              </w:rPr>
              <w:t>(1)</w:t>
            </w:r>
          </w:p>
        </w:tc>
        <w:tc>
          <w:tcPr>
            <w:tcW w:w="140" w:type="dxa"/>
            <w:vAlign w:val="bottom"/>
            <w:tcBorders>
              <w:top w:val="single" w:sz="8" w:color="CCEEFF"/>
            </w:tcBorders>
            <w:shd w:val="clear" w:color="auto" w:fill="CCEEFF"/>
          </w:tcPr>
          <w:p>
            <w:pPr>
              <w:spacing w:after="0"/>
              <w:rPr>
                <w:sz w:val="20"/>
                <w:szCs w:val="20"/>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Navios Libra II</w:t>
            </w:r>
          </w:p>
        </w:tc>
        <w:tc>
          <w:tcPr>
            <w:tcW w:w="1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Marshall Is.</w:t>
            </w:r>
          </w:p>
        </w:tc>
        <w:tc>
          <w:tcPr>
            <w:tcW w:w="2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1/01 – 06/30</w:t>
            </w:r>
          </w:p>
        </w:tc>
        <w:tc>
          <w:tcPr>
            <w:tcW w:w="2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1/01 – 06/30</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0" w:gutter="0" w:footer="0" w:header="0"/>
        </w:sectPr>
      </w:pPr>
    </w:p>
    <w:bookmarkStart w:id="25" w:name="page26"/>
    <w:bookmarkEnd w:id="25"/>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Alegria Shipping Corporation</w:t>
      </w:r>
    </w:p>
    <w:p>
      <w:pPr>
        <w:spacing w:after="0"/>
        <w:rPr>
          <w:sz w:val="20"/>
          <w:szCs w:val="20"/>
          <w:color w:val="auto"/>
        </w:rPr>
      </w:pPr>
      <w:r>
        <w:rPr>
          <w:rFonts w:ascii="Arial" w:cs="Arial" w:eastAsia="Arial" w:hAnsi="Arial"/>
          <w:sz w:val="18"/>
          <w:szCs w:val="18"/>
          <w:color w:val="auto"/>
        </w:rPr>
        <w:t>Felicity Shipping Corporation</w:t>
      </w:r>
      <w:r>
        <w:rPr>
          <w:rFonts w:ascii="Arial" w:cs="Arial" w:eastAsia="Arial" w:hAnsi="Arial"/>
          <w:sz w:val="25"/>
          <w:szCs w:val="25"/>
          <w:color w:val="auto"/>
          <w:vertAlign w:val="superscript"/>
        </w:rPr>
        <w:t>(2)</w:t>
      </w:r>
    </w:p>
    <w:p>
      <w:pPr>
        <w:spacing w:after="0" w:line="202" w:lineRule="auto"/>
        <w:rPr>
          <w:sz w:val="20"/>
          <w:szCs w:val="20"/>
          <w:color w:val="auto"/>
        </w:rPr>
      </w:pPr>
      <w:r>
        <w:rPr>
          <w:rFonts w:ascii="Arial" w:cs="Arial" w:eastAsia="Arial" w:hAnsi="Arial"/>
          <w:sz w:val="18"/>
          <w:szCs w:val="18"/>
          <w:color w:val="auto"/>
        </w:rPr>
        <w:t>Gemini Shipping Corporation</w:t>
      </w:r>
      <w:r>
        <w:rPr>
          <w:rFonts w:ascii="Arial" w:cs="Arial" w:eastAsia="Arial" w:hAnsi="Arial"/>
          <w:sz w:val="25"/>
          <w:szCs w:val="25"/>
          <w:color w:val="auto"/>
          <w:vertAlign w:val="superscript"/>
        </w:rPr>
        <w:t>(3)</w:t>
      </w:r>
    </w:p>
    <w:p>
      <w:pPr>
        <w:spacing w:after="0" w:line="209" w:lineRule="auto"/>
        <w:rPr>
          <w:sz w:val="20"/>
          <w:szCs w:val="20"/>
          <w:color w:val="auto"/>
        </w:rPr>
      </w:pPr>
      <w:r>
        <w:rPr>
          <w:rFonts w:ascii="Arial" w:cs="Arial" w:eastAsia="Arial" w:hAnsi="Arial"/>
          <w:sz w:val="18"/>
          <w:szCs w:val="18"/>
          <w:color w:val="auto"/>
        </w:rPr>
        <w:t>Galaxy Shipping Corporation</w:t>
      </w:r>
      <w:r>
        <w:rPr>
          <w:rFonts w:ascii="Arial" w:cs="Arial" w:eastAsia="Arial" w:hAnsi="Arial"/>
          <w:sz w:val="25"/>
          <w:szCs w:val="25"/>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Aurora Shipping Enterprises Ltd.</w:t>
      </w:r>
    </w:p>
    <w:p>
      <w:pPr>
        <w:spacing w:after="0" w:line="226" w:lineRule="auto"/>
        <w:rPr>
          <w:sz w:val="20"/>
          <w:szCs w:val="20"/>
          <w:color w:val="auto"/>
        </w:rPr>
      </w:pPr>
      <w:r>
        <w:rPr>
          <w:rFonts w:ascii="Arial" w:cs="Arial" w:eastAsia="Arial" w:hAnsi="Arial"/>
          <w:sz w:val="18"/>
          <w:szCs w:val="18"/>
          <w:color w:val="auto"/>
        </w:rPr>
        <w:t>Palermo Shipping S.A.</w:t>
      </w:r>
      <w:r>
        <w:rPr>
          <w:rFonts w:ascii="Arial" w:cs="Arial" w:eastAsia="Arial" w:hAnsi="Arial"/>
          <w:sz w:val="25"/>
          <w:szCs w:val="25"/>
          <w:color w:val="auto"/>
          <w:vertAlign w:val="superscript"/>
        </w:rPr>
        <w:t>(5)</w:t>
      </w:r>
    </w:p>
    <w:p>
      <w:pPr>
        <w:spacing w:after="0" w:line="231" w:lineRule="auto"/>
        <w:rPr>
          <w:sz w:val="20"/>
          <w:szCs w:val="20"/>
          <w:color w:val="auto"/>
        </w:rPr>
      </w:pPr>
      <w:r>
        <w:rPr>
          <w:rFonts w:ascii="Arial" w:cs="Arial" w:eastAsia="Arial" w:hAnsi="Arial"/>
          <w:sz w:val="16"/>
          <w:szCs w:val="16"/>
          <w:color w:val="auto"/>
        </w:rPr>
        <w:t>Fantastiks Shipping Corporation</w:t>
      </w:r>
      <w:r>
        <w:rPr>
          <w:rFonts w:ascii="Arial" w:cs="Arial" w:eastAsia="Arial" w:hAnsi="Arial"/>
          <w:sz w:val="22"/>
          <w:szCs w:val="22"/>
          <w:color w:val="auto"/>
          <w:vertAlign w:val="superscript"/>
        </w:rPr>
        <w:t>(12)</w:t>
      </w:r>
    </w:p>
    <w:p>
      <w:pPr>
        <w:spacing w:after="0" w:line="237" w:lineRule="auto"/>
        <w:rPr>
          <w:sz w:val="20"/>
          <w:szCs w:val="20"/>
          <w:color w:val="auto"/>
        </w:rPr>
      </w:pPr>
      <w:r>
        <w:rPr>
          <w:rFonts w:ascii="Arial" w:cs="Arial" w:eastAsia="Arial" w:hAnsi="Arial"/>
          <w:sz w:val="16"/>
          <w:szCs w:val="16"/>
          <w:color w:val="auto"/>
        </w:rPr>
        <w:t>Sagittarius Shipping Corporation</w:t>
      </w:r>
      <w:r>
        <w:rPr>
          <w:rFonts w:ascii="Arial" w:cs="Arial" w:eastAsia="Arial" w:hAnsi="Arial"/>
          <w:sz w:val="22"/>
          <w:szCs w:val="22"/>
          <w:color w:val="auto"/>
          <w:vertAlign w:val="superscript"/>
        </w:rPr>
        <w:t>(12)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Hyperion Enterprises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Chilali Corp.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Surf Maritime Co.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Pandora Marine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Customized Development S.A.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Kohylia Shipmanagement S.A.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Orbiter Shipping Corp.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Floral Marine Ltd.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Golem Navigation Limited</w:t>
      </w:r>
    </w:p>
    <w:p>
      <w:pPr>
        <w:spacing w:after="0" w:line="36" w:lineRule="exact"/>
        <w:rPr>
          <w:sz w:val="20"/>
          <w:szCs w:val="20"/>
          <w:color w:val="auto"/>
        </w:rPr>
      </w:pPr>
    </w:p>
    <w:p>
      <w:pPr>
        <w:ind w:right="1100"/>
        <w:spacing w:after="0" w:line="254" w:lineRule="auto"/>
        <w:rPr>
          <w:sz w:val="20"/>
          <w:szCs w:val="20"/>
          <w:color w:val="auto"/>
        </w:rPr>
      </w:pPr>
      <w:r>
        <w:rPr>
          <w:rFonts w:ascii="Arial" w:cs="Arial" w:eastAsia="Arial" w:hAnsi="Arial"/>
          <w:sz w:val="17"/>
          <w:szCs w:val="17"/>
          <w:color w:val="auto"/>
        </w:rPr>
        <w:t>Kymata Shipping Co. Joy Shipping Corporation Micaela Shipping Corporation Pearl Shipping Corporation Velvet Shipping Corporation Perigiali Navigation Limited</w:t>
      </w:r>
      <w:r>
        <w:rPr>
          <w:rFonts w:ascii="Arial" w:cs="Arial" w:eastAsia="Arial" w:hAnsi="Arial"/>
          <w:sz w:val="24"/>
          <w:szCs w:val="24"/>
          <w:color w:val="auto"/>
          <w:vertAlign w:val="superscript"/>
        </w:rPr>
        <w:t>(12)</w:t>
      </w:r>
      <w:r>
        <w:rPr>
          <w:rFonts w:ascii="Arial" w:cs="Arial" w:eastAsia="Arial" w:hAnsi="Arial"/>
          <w:sz w:val="17"/>
          <w:szCs w:val="17"/>
          <w:color w:val="auto"/>
        </w:rPr>
        <w:t xml:space="preserve"> Finian Navigation Co.</w:t>
      </w:r>
      <w:r>
        <w:rPr>
          <w:rFonts w:ascii="Arial" w:cs="Arial" w:eastAsia="Arial" w:hAnsi="Arial"/>
          <w:sz w:val="24"/>
          <w:szCs w:val="24"/>
          <w:color w:val="auto"/>
          <w:vertAlign w:val="superscript"/>
        </w:rPr>
        <w:t>(12)</w:t>
      </w:r>
      <w:r>
        <w:rPr>
          <w:rFonts w:ascii="Arial" w:cs="Arial" w:eastAsia="Arial" w:hAnsi="Arial"/>
          <w:sz w:val="17"/>
          <w:szCs w:val="17"/>
          <w:color w:val="auto"/>
        </w:rPr>
        <w:t xml:space="preserve"> Ammos Shipping Corp. Wave Shipping Corp. Casual Shipholding Co.</w:t>
      </w:r>
      <w:r>
        <w:rPr>
          <w:rFonts w:ascii="Arial" w:cs="Arial" w:eastAsia="Arial" w:hAnsi="Arial"/>
          <w:sz w:val="24"/>
          <w:szCs w:val="24"/>
          <w:color w:val="auto"/>
          <w:vertAlign w:val="superscript"/>
        </w:rPr>
        <w:t>(12)</w:t>
      </w:r>
      <w:r>
        <w:rPr>
          <w:rFonts w:ascii="Arial" w:cs="Arial" w:eastAsia="Arial" w:hAnsi="Arial"/>
          <w:sz w:val="17"/>
          <w:szCs w:val="17"/>
          <w:color w:val="auto"/>
        </w:rPr>
        <w:t xml:space="preserve"> Avery Shipping Company Coasters Ventures Ltd. Ianthe Maritime S.A. Rubina Shipping Corporation Topaz Shipping Corporation Beryl Shipping Corporation Cheryl Shipping Corporation Christal Shipping Corporation Dune Shipping Corp.</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Citrine Shipping Corporation Cavalli Navigation Inc. Seymour Trading Limited Goldie Services Company Andromeda Shiptrade Limited Esmeralda Shipping Corporation Triangle Shipping Corporation Oceanus Shipping Corporation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Cronus Shipping Corporation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Leto Shipping Corporation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Dionysus Shipping Corporation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Prometheus Shipping Corporation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Camelia Shipping Inc.</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Anthos Shipping Inc.</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Azalea Shipping Inc.</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Amaryllis Shipping Inc.</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Zaffre Shipping Corporation</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Wenge Shipping Corporation</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Sunstone Shipping Corporation</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Fandango Shipping Corporation</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Flavescent Shipping Corporation</w:t>
      </w:r>
      <w:r>
        <w:rPr>
          <w:rFonts w:ascii="Arial" w:cs="Arial" w:eastAsia="Arial" w:hAnsi="Arial"/>
          <w:sz w:val="24"/>
          <w:szCs w:val="24"/>
          <w:color w:val="auto"/>
          <w:vertAlign w:val="superscript"/>
        </w:rPr>
        <w:t>(13)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300"/>
        <w:spacing w:after="0" w:line="282" w:lineRule="auto"/>
        <w:rPr>
          <w:sz w:val="20"/>
          <w:szCs w:val="20"/>
          <w:color w:val="auto"/>
        </w:rPr>
      </w:pPr>
      <w:r>
        <w:rPr>
          <w:rFonts w:ascii="Arial" w:cs="Arial" w:eastAsia="Arial" w:hAnsi="Arial"/>
          <w:sz w:val="16"/>
          <w:szCs w:val="16"/>
          <w:b w:val="1"/>
          <w:bCs w:val="1"/>
          <w:color w:val="auto"/>
        </w:rPr>
        <w:t xml:space="preserve">Bareboat Chartered-in vessels </w:t>
      </w:r>
      <w:r>
        <w:rPr>
          <w:rFonts w:ascii="Arial" w:cs="Arial" w:eastAsia="Arial" w:hAnsi="Arial"/>
          <w:sz w:val="16"/>
          <w:szCs w:val="16"/>
          <w:color w:val="auto"/>
        </w:rPr>
        <w:t>Cavos Navigation Co.</w:t>
      </w:r>
      <w:r>
        <w:rPr>
          <w:rFonts w:ascii="Arial" w:cs="Arial" w:eastAsia="Arial" w:hAnsi="Arial"/>
          <w:sz w:val="22"/>
          <w:szCs w:val="22"/>
          <w:color w:val="auto"/>
          <w:vertAlign w:val="superscript"/>
        </w:rPr>
        <w:t>(9)</w:t>
      </w:r>
      <w:r>
        <w:rPr>
          <w:rFonts w:ascii="Arial" w:cs="Arial" w:eastAsia="Arial" w:hAnsi="Arial"/>
          <w:sz w:val="16"/>
          <w:szCs w:val="16"/>
          <w:color w:val="auto"/>
        </w:rPr>
        <w:t xml:space="preserve"> Perivoia Shipmanagement Co.</w:t>
      </w:r>
      <w:r>
        <w:rPr>
          <w:rFonts w:ascii="Arial" w:cs="Arial" w:eastAsia="Arial" w:hAnsi="Arial"/>
          <w:sz w:val="22"/>
          <w:szCs w:val="22"/>
          <w:color w:val="auto"/>
          <w:vertAlign w:val="superscript"/>
        </w:rPr>
        <w:t>(10)</w:t>
      </w:r>
      <w:r>
        <w:rPr>
          <w:rFonts w:ascii="Arial" w:cs="Arial" w:eastAsia="Arial" w:hAnsi="Arial"/>
          <w:sz w:val="16"/>
          <w:szCs w:val="16"/>
          <w:color w:val="auto"/>
        </w:rPr>
        <w:t xml:space="preserve"> Pleione Management Limited</w:t>
      </w:r>
      <w:r>
        <w:rPr>
          <w:rFonts w:ascii="Arial" w:cs="Arial" w:eastAsia="Arial" w:hAnsi="Arial"/>
          <w:sz w:val="22"/>
          <w:szCs w:val="22"/>
          <w:color w:val="auto"/>
          <w:vertAlign w:val="superscript"/>
        </w:rPr>
        <w:t>(10)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Prosperity Shipping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Aldebaran Shipping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JTC Shipping and Trading Ltd.</w:t>
      </w:r>
      <w:r>
        <w:rPr>
          <w:rFonts w:ascii="Arial" w:cs="Arial" w:eastAsia="Arial" w:hAnsi="Arial"/>
          <w:sz w:val="24"/>
          <w:szCs w:val="24"/>
          <w:color w:val="auto"/>
          <w:vertAlign w:val="superscript"/>
        </w:rPr>
        <w:t>(11)</w:t>
      </w:r>
    </w:p>
    <w:p>
      <w:pPr>
        <w:spacing w:after="0"/>
        <w:rPr>
          <w:sz w:val="20"/>
          <w:szCs w:val="20"/>
          <w:color w:val="auto"/>
        </w:rPr>
      </w:pPr>
      <w:r>
        <w:rPr>
          <w:rFonts w:ascii="Arial" w:cs="Arial" w:eastAsia="Arial" w:hAnsi="Arial"/>
          <w:sz w:val="18"/>
          <w:szCs w:val="18"/>
          <w:color w:val="auto"/>
        </w:rPr>
        <w:t>Navios Maritime Partners L.P.</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Navios Felicity</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70"/>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2"/>
              </w:rPr>
              <w:t>Navios Gemini 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2"/>
              </w:rPr>
              <w:t>Navios Gemini 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3"/>
              </w:rPr>
              <w:t>Navios Galaxy I</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1"/>
              </w:rPr>
              <w:t>Navios Hope</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Navios Apollon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0"/>
              </w:rPr>
              <w:t>Navios Fantastiks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0"/>
              </w:rPr>
              <w:t>Navios Sagittarius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Hyperion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Navios Aurora II</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3"/>
              </w:rPr>
              <w:t>Navios Pollux</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4"/>
              </w:rPr>
              <w:t>Navios Melodia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Navios Fulvia</w:t>
            </w: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Liberia</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4"/>
              </w:rPr>
              <w:t>Navios Luz</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Orbiter</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89"/>
              </w:rPr>
              <w:t>Navios Buena Ventura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Navios Soleil</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Helios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0"/>
              </w:rPr>
              <w:t>Navios Joy</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1"/>
              </w:rPr>
              <w:t>Navios Harmony</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1"/>
              </w:rPr>
              <w:t>Navios Sun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1"/>
              </w:rPr>
              <w:t>Navios La Paix</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1"/>
              </w:rPr>
              <w:t>Navios Beaufiks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2"/>
              </w:rPr>
              <w:t>Navios Ace</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2"/>
              </w:rPr>
              <w:t>Navios Prosperity I</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1"/>
              </w:rPr>
              <w:t>Navios Libertas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2"/>
              </w:rPr>
              <w:t>Navios Sol</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Symphony</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3"/>
              </w:rPr>
              <w:t>Navios Christine B</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Aster</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Hyundai Hongkong</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0"/>
              </w:rPr>
              <w:t>Hyundai Singapore</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3"/>
              </w:rPr>
              <w:t>Hyundai Tokyo</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1"/>
              </w:rPr>
              <w:t>Hyundai Shanghai</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1"/>
              </w:rPr>
              <w:t>Hyundai Busan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4"/>
              </w:rPr>
              <w:t>MSC Cristina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7"/>
              </w:rPr>
              <w:t>Navios Altair I</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Symmetry</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6"/>
              </w:rPr>
              <w:t>Navios Apollon I</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89"/>
              </w:rPr>
              <w:t>Navios Sphera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1"/>
              </w:rPr>
              <w:t>Navios Mars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0"/>
              </w:rPr>
              <w:t>Castor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0"/>
              </w:rPr>
              <w:t>Protostar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86"/>
              </w:rPr>
              <w:t>Esperanza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Harmony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3"/>
              </w:rPr>
              <w:t>Solar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2"/>
              </w:rPr>
              <w:t>Navios Camelia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3"/>
              </w:rPr>
              <w:t>Navios Anthos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2"/>
              </w:rPr>
              <w:t>Navios Azalea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29"/>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4"/>
              </w:rPr>
              <w:t>Navios Amaryllis</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89"/>
              </w:rPr>
              <w:t>Serenitas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06/29–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0"/>
              </w:rPr>
              <w:t>Joie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06/29–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1"/>
              </w:rPr>
              <w:t>Copernicus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06/29–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8"/>
              </w:rPr>
              <w:t>Unity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06/29–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57"/>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87"/>
              </w:rPr>
              <w:t>Odysseus N</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06/29–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729"/>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3"/>
              </w:rPr>
              <w:t>Navios Libra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4"/>
              </w:rPr>
              <w:t>Navios TBN1</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jc w:val="center"/>
              <w:ind w:right="290"/>
              <w:spacing w:after="0"/>
              <w:rPr>
                <w:sz w:val="20"/>
                <w:szCs w:val="20"/>
                <w:color w:val="auto"/>
              </w:rPr>
            </w:pPr>
            <w:r>
              <w:rPr>
                <w:rFonts w:ascii="Arial" w:cs="Arial" w:eastAsia="Arial" w:hAnsi="Arial"/>
                <w:sz w:val="18"/>
                <w:szCs w:val="18"/>
                <w:color w:val="auto"/>
                <w:w w:val="94"/>
              </w:rPr>
              <w:t>Navios TBN2</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729"/>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3"/>
              </w:rPr>
              <w:t>Holding Company</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r>
        <w:trPr>
          <w:trHeight w:val="243"/>
        </w:trPr>
        <w:tc>
          <w:tcPr>
            <w:tcW w:w="2020" w:type="dxa"/>
            <w:vAlign w:val="bottom"/>
          </w:tcPr>
          <w:p>
            <w:pPr>
              <w:jc w:val="center"/>
              <w:ind w:right="310"/>
              <w:spacing w:after="0"/>
              <w:rPr>
                <w:sz w:val="20"/>
                <w:szCs w:val="20"/>
                <w:color w:val="auto"/>
              </w:rPr>
            </w:pPr>
            <w:r>
              <w:rPr>
                <w:rFonts w:ascii="Arial" w:cs="Arial" w:eastAsia="Arial" w:hAnsi="Arial"/>
                <w:sz w:val="18"/>
                <w:szCs w:val="18"/>
                <w:color w:val="auto"/>
                <w:w w:val="99"/>
              </w:rPr>
              <w:t>N/A</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 – 06/30</w:t>
            </w:r>
          </w:p>
        </w:tc>
        <w:tc>
          <w:tcPr>
            <w:tcW w:w="1340" w:type="dxa"/>
            <w:vAlign w:val="bottom"/>
          </w:tcPr>
          <w:p>
            <w:pPr>
              <w:ind w:left="420"/>
              <w:spacing w:after="0"/>
              <w:rPr>
                <w:sz w:val="20"/>
                <w:szCs w:val="20"/>
                <w:color w:val="auto"/>
              </w:rPr>
            </w:pPr>
            <w:r>
              <w:rPr>
                <w:rFonts w:ascii="Arial" w:cs="Arial" w:eastAsia="Arial" w:hAnsi="Arial"/>
                <w:sz w:val="18"/>
                <w:szCs w:val="18"/>
                <w:color w:val="auto"/>
                <w:w w:val="89"/>
              </w:rPr>
              <w:t>1/01 – 06/30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-10337800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-10029190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-9720580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-9411970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-9103360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-8794750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-8486140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-8177530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-7868920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-7560310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-7251700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-6943090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-6634480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-6325870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-6017260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-5708650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-5400040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-5091430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-4782820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-4474210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-4165600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-3856990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-3548380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-3239770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-2931160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-2622550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-2313940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-2005330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-1388110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-1079500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-616585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-307975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0</wp:posOffset>
            </wp:positionV>
            <wp:extent cx="713232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64" w:orient="portrait"/>
          <w:cols w:equalWidth="0" w:num="2">
            <w:col w:w="3720" w:space="720"/>
            <w:col w:w="6700"/>
          </w:cols>
          <w:pgMar w:left="320" w:top="125" w:right="439"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Navios Maritime Operating LLC.</w:t>
            </w:r>
          </w:p>
        </w:tc>
        <w:tc>
          <w:tcPr>
            <w:tcW w:w="29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9"/>
              </w:rPr>
              <w:t>N/A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1/01 – 06/30</w:t>
            </w:r>
          </w:p>
        </w:tc>
        <w:tc>
          <w:tcPr>
            <w:tcW w:w="1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1/01 – 06/30</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Navios Partners Finance (US) Inc.</w:t>
            </w:r>
          </w:p>
        </w:tc>
        <w:tc>
          <w:tcPr>
            <w:tcW w:w="2940" w:type="dxa"/>
            <w:vAlign w:val="bottom"/>
          </w:tcPr>
          <w:p>
            <w:pPr>
              <w:jc w:val="center"/>
              <w:ind w:left="410"/>
              <w:spacing w:after="0"/>
              <w:rPr>
                <w:sz w:val="20"/>
                <w:szCs w:val="20"/>
                <w:color w:val="auto"/>
              </w:rPr>
            </w:pPr>
            <w:r>
              <w:rPr>
                <w:rFonts w:ascii="Arial" w:cs="Arial" w:eastAsia="Arial" w:hAnsi="Arial"/>
                <w:sz w:val="18"/>
                <w:szCs w:val="18"/>
                <w:color w:val="auto"/>
                <w:w w:val="94"/>
              </w:rPr>
              <w:t>Co-Borrower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00" w:type="dxa"/>
            <w:vAlign w:val="bottom"/>
          </w:tcPr>
          <w:p>
            <w:pPr>
              <w:ind w:left="360"/>
              <w:spacing w:after="0"/>
              <w:rPr>
                <w:sz w:val="20"/>
                <w:szCs w:val="20"/>
                <w:color w:val="auto"/>
              </w:rPr>
            </w:pPr>
            <w:r>
              <w:rPr>
                <w:rFonts w:ascii="Arial" w:cs="Arial" w:eastAsia="Arial" w:hAnsi="Arial"/>
                <w:sz w:val="18"/>
                <w:szCs w:val="18"/>
                <w:color w:val="auto"/>
              </w:rPr>
              <w:t>1/01 – 06/30</w:t>
            </w:r>
          </w:p>
        </w:tc>
        <w:tc>
          <w:tcPr>
            <w:tcW w:w="1440" w:type="dxa"/>
            <w:vAlign w:val="bottom"/>
          </w:tcPr>
          <w:p>
            <w:pPr>
              <w:ind w:left="420"/>
              <w:spacing w:after="0"/>
              <w:rPr>
                <w:sz w:val="20"/>
                <w:szCs w:val="20"/>
                <w:color w:val="auto"/>
              </w:rPr>
            </w:pPr>
            <w:r>
              <w:rPr>
                <w:rFonts w:ascii="Arial" w:cs="Arial" w:eastAsia="Arial" w:hAnsi="Arial"/>
                <w:sz w:val="18"/>
                <w:szCs w:val="18"/>
                <w:color w:val="auto"/>
                <w:w w:val="99"/>
              </w:rPr>
              <w:t>1/01 – 06/30</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Navios Partners Europe Finance Inc.</w:t>
            </w:r>
          </w:p>
        </w:tc>
        <w:tc>
          <w:tcPr>
            <w:tcW w:w="29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Sub-Holding Company</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1/01 – 06/30</w:t>
            </w:r>
          </w:p>
        </w:tc>
        <w:tc>
          <w:tcPr>
            <w:tcW w:w="1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1/01 – 06/30</w:t>
            </w:r>
          </w:p>
        </w:tc>
      </w:tr>
    </w:tbl>
    <w:p>
      <w:pPr>
        <w:sectPr>
          <w:pgSz w:w="11900" w:h="16838" w:orient="portrait"/>
          <w:cols w:equalWidth="0" w:num="1">
            <w:col w:w="11240"/>
          </w:cols>
          <w:pgMar w:left="320" w:top="140" w:right="339" w:bottom="1440" w:gutter="0" w:footer="0" w:header="0"/>
        </w:sectPr>
      </w:pPr>
    </w:p>
    <w:bookmarkStart w:id="27" w:name="page28"/>
    <w:bookmarkEnd w:id="27"/>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vessel was sold on December 14, 2018.</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vessel was sold on December 4, 2018.</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vessel was sold on December 21, 2017.</w:t>
      </w:r>
    </w:p>
    <w:p>
      <w:pPr>
        <w:spacing w:after="0" w:line="22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 was sold on April 23, 2019 (see Note 4 – Vessels, net).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 was sold on April 21,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 was sold on January 12,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vessels were acquired on December 13, 2019, following the liquidation of Navios Europe I (see Note 4 – Vessels, net).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vessels were acquired on December 16, 2019 (see Note 4 – Vessels, net).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 was delivered on July 24, 2019 (see Note 18 – Leases).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vessels are expected to be delivered by first half of 2021 (see Note 11 – Commitments and Contingencies).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Vessels under the sale and leaseback transaction (see Note 18 – Leases).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vessels were acquired on June 29, 2020, following the liquidation of Navios Europe II (see Note 4 – Vessels, net).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Investments in Affiliates: </w:t>
      </w:r>
      <w:r>
        <w:rPr>
          <w:rFonts w:ascii="Arial" w:cs="Arial" w:eastAsia="Arial" w:hAnsi="Arial"/>
          <w:sz w:val="16"/>
          <w:szCs w:val="16"/>
          <w:color w:val="auto"/>
        </w:rPr>
        <w:t>Affiliates are entities over which the Company generally has between 20% and 50% of the voting rights, or over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significant influence, but it does not exercise control. Investments in these entities are accounted for under the equity method of accounting. Under this method, the Company records an investment in the stock of an affiliate at cost, and adjusts the carrying amount for its share of the earnings or losses of the affiliate subsequent to the date of investment and reports the recognized earnings or losses in income. Dividends received from an affiliate reduce the carrying amount of the investment. The Company recognizes gains and losses in earnings for the issuance of shares by its affiliates, provided that the issuance of such shares qualifies as a sale of such shares. When the Company’s share of losses in an affiliate equals or exceeds its interest in the affiliate, the Company does not recognize further losses, unless the Company has incurred obligations or made payments on behalf of the affiliate.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Affiliates included in the financial statements accounted for under the equity method: </w:t>
      </w:r>
      <w:r>
        <w:rPr>
          <w:rFonts w:ascii="Arial" w:cs="Arial" w:eastAsia="Arial" w:hAnsi="Arial"/>
          <w:sz w:val="18"/>
          <w:szCs w:val="18"/>
          <w:color w:val="auto"/>
        </w:rPr>
        <w:t>In the consolidated financial statements of Navios Partners,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entities are included as affiliates and are accounted for under the equity method for such periods: (i) Navios Containers and its subsidiaries (ownership interest as of June 30, 2020 was 33.5%); (ii) Navios Europe I and its subsidiaries, for the comparative period as the entity was liquidated on December 13, 2019; and (iii) Navios Europe II and its subsidiaries through the date of its liquidation on June 29, 2020, with an ownership interest of 5% (see Notes 12 and 14). ten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Navios Partners evaluates its investments in Navios Europe II (until its liquidation) and Navios Containers for other than temporary impairment (“OTTI”) on a quarterly basis. Consideration is given to: (i) the length of time and the extent to which the fair value has been less than the carrying value; (ii) the financial condition and near-term prospects of Navios Containers; and (iii) the intent and ability of the Company to retain its investment in Navios Containers, for a period of time sufficient to allow for any anticipated recovery in fair value (see Note 14 – Investment in Affiliates).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Revenue and Expense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1, 2018, the Company adopted the provisions of ASC 606 “Revenue from Contracts with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modified retrospective approach. In doing so, the Company makes judgments including identifying performance obligations in the contract, estimating the amount of variable consideration to include in the transaction price, and allocating the transaction price to each performance obligation. 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 Revenues are recognized to depict the transfer of promised goods or services to customers in an amount that reflects the consideration to which the entity expects to be entitled in exchange for those goods or services. In determining the appropriate amount of revenue to be recognized as it fulfills its obligations under its agreements, the Company performs the following steps:</w:t>
      </w:r>
    </w:p>
    <w:p>
      <w:pPr>
        <w:spacing w:after="0" w:line="5" w:lineRule="exact"/>
        <w:rPr>
          <w:sz w:val="20"/>
          <w:szCs w:val="20"/>
          <w:color w:val="auto"/>
        </w:rPr>
      </w:pPr>
    </w:p>
    <w:p>
      <w:pPr>
        <w:ind w:firstLine="8"/>
        <w:spacing w:after="0" w:line="260"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w:t>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elected to early adopt the requirements of ASU 2016-02 effective January 1, 2018, using the modified retrospective method which is consistent with the approach the Company has elected under the new revenue standard, and elected to apply the additional optional transition method along with the following practical expedients: a package of practical expedients which does not require the Company to reassess: (1) whether any expired or existing contracts are or contain leases; (2) lease classification for any expired or existing leases; and (3) whether initial direct costs for any expired or existing leases would qualify for capitalization under ASC 842.</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 revenues from time chartering and pooling arrangements are governed by ASU 2016-02 (ASC 842) “Leases”. Upon adoption of ASC 606 and ASC 842, the timing and recognition of earnings from the pool arrangements and time charter contracts to which the Company is party did not change from previous practice. The Company has determined to recognize lease revenue as a combined single lease component for all time charters (operating leases) as the related lease component and non lease components will have the same timing and pattern of the revenue recognition of the combined single lease component. The performance obligations in a time charter contract are satisfied over term of the contract beginning when the vessel is delivered to the charterer until it is redelivered back to the Company. As a result of the adoption of these standards, there was no effect on the Company’s retained earnings, as at January 1,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time chartering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Revenues from time chartering of vessels are accounted for as operating leases and are thus recognized on a straight line basis as the average lease revenue over the rental periods of such charter agreements, as service is performed. A time charter involves placing a vessel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Under time charters, operating costs such as for crews, maintenance and insurance are typically paid by the owner of the vessel. Revenue from time chartering of vessels amounted to $45,679 and $45,450 for the three month periods ended June 30, 2020 and 2019, respectively. Revenue from time chartering of vessels amounted to $91,328 and $88,979 for the six month periods ended June 30,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voyage contracts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revenues earned under voyage contracts (revenues for the transportation of cargo) were previously recognized ratably over the estimated relative transit time of each voyage. A voyage was deemed to commence when a vessel was available for loading and was deemed to end upon the completion of the discharge of the current cargo. Estimated losses on voyages are provided for in full at the time such losses become evident. Under a voyage charter, a vessel is provided for the transportation of specific goods between specific ports in return for payment of an agreed upon freight per ton of cargo. Upon adoption of ASC 606, the Company recognizes revenue ratably from port of loading to when the charterer’s cargo is discharged as well as defer costs that meet the definition of “costs to fulfill a contract” and relate directly to the contract. During 2017, no freight voyage existed and therefore, there was no impact on the Company’s retained earnings as at January 1, 2018. Revenue from voyage contracts amounted to $306 and $3,808 for the six month periods ended June 30, 2020 and 2019, respectively.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Pooling arrangements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vessels operating in pooling arrangements, the Company earns a portion of total revenues generated by the pool, net of expenses incurred by the pool. The amount allocated to each pool participant vessel, including the Company’s vessels, is determined in accordance with an agreed-upon formula, which is determined by points awarded to each vessel in the pool based on the vessel’s age, design and other performance characteristics. Revenue under pooling arrangements is accounted for as variable rate operating leases on the accrual basis and is recognized when an agreement with the pool exists, price is fixed, service is provided and the collectability is reasonably assured. The allocation of such net revenue may be subject to future adjustments by the pool however, such changes are not expected to be material. The Company recognizes net pool revenue on a monthly and quarterly basis, when the</w:t>
      </w:r>
    </w:p>
    <w:p>
      <w:pPr>
        <w:sectPr>
          <w:pgSz w:w="11900" w:h="16838" w:orient="portrait"/>
          <w:cols w:equalWidth="0" w:num="1">
            <w:col w:w="11240"/>
          </w:cols>
          <w:pgMar w:left="320" w:top="476" w:right="339" w:bottom="1440" w:gutter="0" w:footer="0" w:header="0"/>
        </w:sectPr>
      </w:pPr>
    </w:p>
    <w:bookmarkStart w:id="29" w:name="page30"/>
    <w:bookmarkEnd w:id="29"/>
    <w:p>
      <w:pPr>
        <w:jc w:val="both"/>
        <w:spacing w:after="0" w:line="308" w:lineRule="auto"/>
        <w:rPr>
          <w:sz w:val="20"/>
          <w:szCs w:val="20"/>
          <w:color w:val="auto"/>
        </w:rPr>
      </w:pPr>
      <w:r>
        <w:rPr>
          <w:rFonts w:ascii="Arial" w:cs="Arial" w:eastAsia="Arial" w:hAnsi="Arial"/>
          <w:sz w:val="17"/>
          <w:szCs w:val="17"/>
          <w:color w:val="auto"/>
        </w:rPr>
        <w:t>vessel has participated in a pool during the period and the amount of pool revenue can be estimated reliably based on the pool report. Revenue from vessels operating in pooling arrangements amounted to $1,405 and $1,776 for the six month periods ended June 30, 2020 and 2019,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profit-sharing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Profit-sharing revenues are calculated at an agreed percentage of the excess of the charterer’s average daily income (calculated on a quarterly or half-yearly basis) over an agreed amount and accounted for on an accrual basis based on provisional amounts and for those contracts that provisional accruals cannot be made due to the nature of the profit sharing elements, these are accounted for on the actual cash settlement or when such revenue becomes determinable. Profit sharing revenue amounted to $0 for each of the six month periods ended June 30, 2020 and 2019.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recorded net of address commissions. Address commissions represent a discount provided directly to the charterers based on a fixed percentage of the agreed upon charter or freight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2020, the FASB issued ASU 2020-4, “Reference Rate Reform (Topic 848)” (“ASU 2020-4”), which provides optional guidance intended to ease the potential burden in accounting for the expected discontinuation of LIBOR as a reference rate in the financial markets. The guidance can be applied to modifications made to certain contracts to replace LIBOR with a new reference rate. The guidance, if elected, will permit entities to treat such modifications as the continuation of the original contract, without any required accounting reassessments or remeasurements. The ASU 2020-4 was effective for the Company beginning on March 12, 2020 and the Company will apply the amendments prospectively through December 31, 2022. There was no impact to the Company’s unaudited condensed consolidation financial statements as a result of adopting this standard update. Currently, the Company has various contracts that reference LIBOR and is assessing how this standard may be applied to specific contract modifications.</w:t>
      </w:r>
    </w:p>
    <w:p>
      <w:pPr>
        <w:spacing w:after="0" w:line="58" w:lineRule="exact"/>
        <w:rPr>
          <w:sz w:val="20"/>
          <w:szCs w:val="20"/>
          <w:color w:val="auto"/>
        </w:rPr>
      </w:pPr>
    </w:p>
    <w:p>
      <w:pPr>
        <w:jc w:val="both"/>
        <w:ind w:firstLine="73"/>
        <w:spacing w:after="0" w:line="254" w:lineRule="auto"/>
        <w:rPr>
          <w:sz w:val="20"/>
          <w:szCs w:val="20"/>
          <w:color w:val="auto"/>
        </w:rPr>
      </w:pPr>
      <w:r>
        <w:rPr>
          <w:rFonts w:ascii="Arial" w:cs="Arial" w:eastAsia="Arial" w:hAnsi="Arial"/>
          <w:sz w:val="18"/>
          <w:szCs w:val="18"/>
          <w:color w:val="auto"/>
        </w:rPr>
        <w:t>In October 2018, the Financial Accounting Standards Board (“FASB”) issued ASU 2018-17, Consolidation (Topic 810): “Targeted Improvements to Related Party Guidance for Variable Interest Entities” (“ASU 2018-17”). ASU 2018-17 provides that indirect interests held through related parties in common control arrangements should be considered on a proportional basis for determining whether fees paid to decision makers and service providers are variable interests. This is consistent with how indirect interests held through related parties under common control are considered for determining whether a reporting entity must consolidate a VIE. For public business entities the amendments are effective for fiscal years beginning after December 15, 2019, and interim periods within those fiscal years. Early adoption is permitted. The adoption of this new accounting guidance did not have a material effect on the Company’s consolidated financial statements.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FASB issued ASU 2018-13, “Fair Value Measurement (Topic 820): Disclosure Framework-Changes to the Disclosure Requirements for Fair Value Measurement”. This update modifies the disclosure requirements on fair value measurements. ASU 2018-13 is effective for fiscal years beginning after December 15, 2019, and earlier adoption is permitted. The adoption of this new accounting guidance did not have a material effect on the Company’s consolidated financial statements.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2016, FASB issued ASU No. 2016-13, “Financial Instruments-Credit Losses (Topic 326): Measurement of Credit Losses on Financial Instruments”. This standard requires entities to measure all expected credit losses of financial assets held at a reporting date based on historical experience, current conditions, and reasonable and supportable forecasts in order to record credit losses in a more timely manner. ASU 2016-13 also amends the accounting for credit losses on available-for-sale debt securities and purchased financial assets with credit deterioration. The standard is effective for interim and annual reporting periods beginning after December 15, 2019, although early adoption is permitted for interim and annual periods beginning after December 15, 2018. In November 2018, FASB issued ASU 2018-19 “Codification Improvements to topic 326, Financial Instruments-Credit Losses”. The amendments in this update clarify that operating lease receivables are not within the scope of ASC 326-20 and should instead be accounted for under the new leasing standard, ASC 842. In April 2019, FASB issued ASU 2019-04 “Codification Improvements to topic 326, Financial Instruments-Credit Losses, Topic 815, Derivatives and Hedging, and Topic 825, Financial Instruments”. In May 2019, FASB issued ASU 2019-05, “Financial Instruments-Credit Losses (Topic 326): Targeted Transition Relief”. The amendments in this update provide entities that have certain instruments within the scope of Subtopic 326-20, Financial Instruments-Credit Losses-Measured at Amortized Cost, with an option to irrevocably elect the fair value option in Subtopic 825-10, Financial Instruments-Overall, applied on an instrument-by-instrument basis for eligible instruments, upon adoption of Topic 326. The fair value option election does not apply to held-to-maturity debt securities. An entity that elects the fair value option should subsequently apply the guidance in Subtopics 820-10, Fair Value Measurement-Overall, and 825-10. In November 2019, FASB issued ASU No. 2019-11, Codification Improvements to Topic 326, Financial Instruments-Credit Losses. This update introduced an expected credit loss model for the impairment of</w:t>
      </w:r>
    </w:p>
    <w:p>
      <w:pPr>
        <w:sectPr>
          <w:pgSz w:w="11900" w:h="16838" w:orient="portrait"/>
          <w:cols w:equalWidth="0" w:num="1">
            <w:col w:w="11240"/>
          </w:cols>
          <w:pgMar w:left="320" w:top="584"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financial assets measured at amortized cost basis. That model replaces the probable, incurred loss model for those assets. The standard is effective for interim and annual reporting periods beginning after December 15, 2019. The Company has assessed all the expected credit losses of its financial assets and the adoption of this ASU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23,354</w:t>
            </w:r>
          </w:p>
        </w:tc>
        <w:tc>
          <w:tcPr>
            <w:tcW w:w="300" w:type="dxa"/>
            <w:vAlign w:val="bottom"/>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6,632</w:t>
            </w: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7,048</w:t>
            </w:r>
          </w:p>
        </w:tc>
      </w:tr>
      <w:tr>
        <w:trPr>
          <w:trHeight w:val="236"/>
        </w:trPr>
        <w:tc>
          <w:tcPr>
            <w:tcW w:w="5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2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29,815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30,402</w:t>
            </w:r>
          </w:p>
        </w:tc>
      </w:tr>
      <w:tr>
        <w:trPr>
          <w:trHeight w:val="20"/>
        </w:trPr>
        <w:tc>
          <w:tcPr>
            <w:tcW w:w="5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3"/>
        </w:trPr>
        <w:tc>
          <w:tcPr>
            <w:tcW w:w="5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Short-term deposits and highly liquid funds relate to amounts held in banks for general financing purposes and represent deposits with an original maturity of less than three months.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deposits and cash equivalents in excess of amounts covered by government-provided insurance are exposed to loss in the event of non-performance by financial institutions. Navios Partners does maintain cash deposits and equivalents in excess of government-provided insurance limits. Navios Partners also minimizes exposure to credit risk by dealing with a diversified group of major financial institutions.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Restricted cash at June 30, 2020 and December 31, 2019, included $6,632 and $7,048, respectively, which related to amounts held in retention accounts in order to service debt and interest payments, as required by certain of Navios Partners’ credit facilities.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VESSELS, NET</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Vessels</w:t>
            </w:r>
          </w:p>
        </w:tc>
        <w:tc>
          <w:tcPr>
            <w:tcW w:w="340" w:type="dxa"/>
            <w:vAlign w:val="bottom"/>
          </w:tcPr>
          <w:p>
            <w:pPr>
              <w:spacing w:after="0"/>
              <w:rPr>
                <w:sz w:val="14"/>
                <w:szCs w:val="14"/>
                <w:color w:val="auto"/>
              </w:rPr>
            </w:pPr>
          </w:p>
        </w:tc>
        <w:tc>
          <w:tcPr>
            <w:tcW w:w="14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Depreciation</w:t>
            </w:r>
          </w:p>
        </w:tc>
        <w:tc>
          <w:tcPr>
            <w:tcW w:w="2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1,360,231</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(316,981)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113,391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(52,088)</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Vessels impairment loss</w:t>
            </w: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(97,170)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60,490</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(36,680)</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1,370,756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(308,498)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1,062,258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16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57,569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(26,717)</w:t>
            </w:r>
          </w:p>
        </w:tc>
        <w:tc>
          <w:tcPr>
            <w:tcW w:w="26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30,852</w:t>
            </w:r>
          </w:p>
        </w:tc>
        <w:tc>
          <w:tcPr>
            <w:tcW w:w="0" w:type="dxa"/>
            <w:vAlign w:val="bottom"/>
          </w:tcPr>
          <w:p>
            <w:pPr>
              <w:spacing w:after="0"/>
              <w:rPr>
                <w:sz w:val="1"/>
                <w:szCs w:val="1"/>
                <w:color w:val="auto"/>
              </w:rPr>
            </w:pPr>
          </w:p>
        </w:tc>
      </w:tr>
      <w:tr>
        <w:trPr>
          <w:trHeight w:val="216"/>
        </w:trPr>
        <w:tc>
          <w:tcPr>
            <w:tcW w:w="6160" w:type="dxa"/>
            <w:vAlign w:val="bottom"/>
            <w:shd w:val="clear" w:color="auto" w:fill="CCECFF"/>
          </w:tcPr>
          <w:p>
            <w:pPr>
              <w:spacing w:after="0"/>
              <w:rPr>
                <w:sz w:val="20"/>
                <w:szCs w:val="20"/>
                <w:color w:val="auto"/>
              </w:rPr>
            </w:pPr>
            <w:r>
              <w:rPr>
                <w:rFonts w:ascii="Arial" w:cs="Arial" w:eastAsia="Arial" w:hAnsi="Arial"/>
                <w:sz w:val="18"/>
                <w:szCs w:val="18"/>
                <w:color w:val="auto"/>
              </w:rPr>
              <w:t>Vessels impairment loss</w:t>
            </w:r>
          </w:p>
        </w:tc>
        <w:tc>
          <w:tcPr>
            <w:tcW w:w="34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6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b w:val="1"/>
                <w:bCs w:val="1"/>
                <w:color w:val="auto"/>
              </w:rPr>
              <w:t>Balance June 30, 2020</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1,420,825</w:t>
            </w:r>
          </w:p>
        </w:tc>
        <w:tc>
          <w:tcPr>
            <w:tcW w:w="3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(334,515)</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1,086,310</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 periods ended June 30, 2020 and 2019, certain extraordinary fees and costs related to vessels’ regulatory requirements, including ballast water treatment system installation and exhaust gas cleaning system installation, amounted to $1,519 and $5,767, respectively (see Note 12 – Transactions with related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Vessels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2020, Navios Partners acquired five drybulk vessels, three Panamax and two Ultra-Handymax, for a fair value of $56,050, in total, following the liquidation of Navios Europe II (see Note 12 – Transactions with related parties).</w:t>
      </w:r>
    </w:p>
    <w:p>
      <w:pPr>
        <w:sectPr>
          <w:pgSz w:w="11900" w:h="16838" w:orient="portrait"/>
          <w:cols w:equalWidth="0" w:num="1">
            <w:col w:w="11240"/>
          </w:cols>
          <w:pgMar w:left="320" w:top="692" w:right="339" w:bottom="1440" w:gutter="0" w:footer="0" w:header="0"/>
        </w:sectPr>
      </w:pPr>
    </w:p>
    <w:bookmarkStart w:id="31" w:name="page32"/>
    <w:bookmarkEnd w:id="3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16, 2019, Navios Partners acquired four drybulk vessels, from an entity affiliated with the Company’s Chairman and CEO, for a fair value of $40,379, in total, through a bank financing of $37,000 (see Note 12 - Transactions with Related Parties).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13, 2019, Navios Partners acquired three Sub-Panamax and two Panamax Containerships for a fair value of $56,083, in total, following the liquidation of Navios Europe 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Vessels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23, 2019, Navios Partners sold the Navios Galaxy I to an unrelated third party, for a net sale price of $5,978. Following the impairment loss of $7,345 recognized as of March 31, 2019, no loss on sale occurred upon disposal of the vessel.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impairment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Company’s Business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spread of the COVID-19 virus, which has been declared a pandemic by the World Health Organization, in 2020 has caused substantial disruptions in the global economy and the shipping industry, as well as significant volatility in the financial markets, the severity and duration of which remains uncertain.</w:t>
      </w:r>
    </w:p>
    <w:p>
      <w:pPr>
        <w:spacing w:after="0" w:line="6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impact of the COVID-19 pandemic continues to unfold and may continue to have negative effect on our business, financial performance and the results of our operations, including due to decreased demand for global seaborne dry bulk and container trade and dry bulk and containership charter rates, the extent of which will depend largely on future developments. As a result, many of our estimates and assumptions required increased judgment and carry a higher degree of variability and volatility. As events continue to evolve and additional information becomes available, our estimates may change in future periods.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evaluated the impact of current economic situation on the recoverability of the carrying amount of our vessels. As of June 30, 2020, we concluded that events and circumstances triggered the existence of potential impairment of our vessels. These indicators included volatility in the charter market as well as the potential impact the current marketplace may have on our future operations.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we performed step one of the impairment assessment of our vessels by comparing the undiscounted projected net operating cash flows for each vessel to its carrying value.As of June 30, 2020, our assessment concluded that step two of the impairment analysis was required for three containerships held and used, as the undiscounted projected net operating cash flows did not exceed the carrying value. As a result, the Company recorded an impairment loss of $6,800 for these vessels, being the difference between the fair value and the vessel’s carrying value together with the carrying value of deferred drydock and special survey costs related to the vessel presented under the caption “Vessels impairment loss” in the condensed Consolidated Statements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our assessment concluded that step two of the impairment analysis was required for one of our vessels held and used, as the undiscounted projected net operating cash flows did not exceed the carrying value. As a result, the Company recorded an impairment loss of $29,335 for this vessel, being the difference between the fair value and the vessel’s carrying value together with the carrying value of deferred drydock and special survey costs related to the vessel.</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21, 2019, Navios Partners entered into a Memorandum of Agreement with an unrelated third party for the disposal of the Navios Galaxy I for a net sale price of $5,978. The vessel was subject to an existing time charter with an unrelated charterer and was not immediately available for sale and therefore, did not qualify as an asset held for sale as of March 31, 2019. As of March 31, 2019, the Company had a current expectation that the vessel would be sold before the end of its previously estimated useful life, and as a result performed an impairment test of the specific asset group. An impairment loss of $7,345 has been recognized under the line item “Vessels impairment loss” in the condensed Consolidated Statements of Operations as of March 31, 2019. The vessel was sold on April 23,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2020 and December 31, 2019 consisted of the following:</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Favorable lease terms December 31, 2019</w:t>
            </w:r>
          </w:p>
        </w:tc>
        <w:tc>
          <w:tcPr>
            <w:tcW w:w="1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83,716</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(80,550)</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Favorable lease terms June 30, 2020</w:t>
            </w:r>
          </w:p>
        </w:tc>
        <w:tc>
          <w:tcPr>
            <w:tcW w:w="1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83,716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(81,133)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of favorable lease terms for each of the periods ended June 30, 2020 and 2019 is presented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6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Three Month Period Ended</w:t>
            </w:r>
          </w:p>
        </w:tc>
        <w:tc>
          <w:tcPr>
            <w:tcW w:w="80" w:type="dxa"/>
            <w:vAlign w:val="bottom"/>
          </w:tcPr>
          <w:p>
            <w:pPr>
              <w:spacing w:after="0"/>
              <w:rPr>
                <w:sz w:val="20"/>
                <w:szCs w:val="20"/>
                <w:color w:val="auto"/>
              </w:rPr>
            </w:pPr>
          </w:p>
        </w:tc>
        <w:tc>
          <w:tcPr>
            <w:tcW w:w="26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Six Month Period Ended</w:t>
            </w:r>
          </w:p>
        </w:tc>
      </w:tr>
      <w:tr>
        <w:trPr>
          <w:trHeight w:val="369"/>
        </w:trPr>
        <w:tc>
          <w:tcPr>
            <w:tcW w:w="59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720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34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04"/>
        </w:trPr>
        <w:tc>
          <w:tcPr>
            <w:tcW w:w="59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r>
    </w:tbl>
    <w:p>
      <w:pPr>
        <w:sectPr>
          <w:pgSz w:w="11900" w:h="16900" w:orient="portrait"/>
          <w:cols w:equalWidth="0" w:num="1">
            <w:col w:w="11240"/>
          </w:cols>
          <w:pgMar w:left="320" w:top="584" w:right="3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terms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(292)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(291)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(583)</w:t>
            </w:r>
          </w:p>
        </w:tc>
      </w:tr>
      <w:tr>
        <w:trPr>
          <w:trHeight w:val="20"/>
        </w:trPr>
        <w:tc>
          <w:tcPr>
            <w:tcW w:w="5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 (292)</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 (291)</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(583)</w:t>
            </w:r>
          </w:p>
        </w:tc>
        <w:tc>
          <w:tcPr>
            <w:tcW w:w="1240" w:type="dxa"/>
            <w:vAlign w:val="bottom"/>
            <w:gridSpan w:val="2"/>
          </w:tcPr>
          <w:p>
            <w:pPr>
              <w:ind w:left="720"/>
              <w:spacing w:after="0"/>
              <w:rPr>
                <w:sz w:val="20"/>
                <w:szCs w:val="20"/>
                <w:color w:val="auto"/>
              </w:rPr>
            </w:pPr>
            <w:r>
              <w:rPr>
                <w:rFonts w:ascii="Arial" w:cs="Arial" w:eastAsia="Arial" w:hAnsi="Arial"/>
                <w:sz w:val="18"/>
                <w:szCs w:val="18"/>
                <w:b w:val="1"/>
                <w:bCs w:val="1"/>
                <w:color w:val="auto"/>
                <w:w w:val="87"/>
              </w:rPr>
              <w:t>$ (583)</w:t>
            </w:r>
          </w:p>
        </w:tc>
      </w:tr>
      <w:tr>
        <w:trPr>
          <w:trHeight w:val="27"/>
        </w:trPr>
        <w:tc>
          <w:tcPr>
            <w:tcW w:w="59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9"/>
        </w:trPr>
        <w:tc>
          <w:tcPr>
            <w:tcW w:w="59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669"/>
        </w:trPr>
        <w:tc>
          <w:tcPr>
            <w:tcW w:w="8640" w:type="dxa"/>
            <w:vAlign w:val="bottom"/>
            <w:gridSpan w:val="6"/>
          </w:tcPr>
          <w:p>
            <w:pPr>
              <w:spacing w:after="0"/>
              <w:rPr>
                <w:sz w:val="20"/>
                <w:szCs w:val="20"/>
                <w:color w:val="auto"/>
              </w:rPr>
            </w:pPr>
            <w:r>
              <w:rPr>
                <w:rFonts w:ascii="Arial" w:cs="Arial" w:eastAsia="Arial" w:hAnsi="Arial"/>
                <w:sz w:val="18"/>
                <w:szCs w:val="18"/>
                <w:color w:val="auto"/>
                <w:w w:val="93"/>
              </w:rPr>
              <w:t>The aggregate amortization of the intangibles for the 12-month periods ended June 30 is estimated to be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2"/>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5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1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1,166</w:t>
            </w: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2022</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1,166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2024 and thereafter</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5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2,583</w:t>
            </w:r>
          </w:p>
        </w:tc>
      </w:tr>
      <w:tr>
        <w:trPr>
          <w:trHeight w:val="20"/>
        </w:trPr>
        <w:tc>
          <w:tcPr>
            <w:tcW w:w="5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3"/>
        </w:trPr>
        <w:tc>
          <w:tcPr>
            <w:tcW w:w="5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subject to amortization are amortized using straight line method over their estimated useful lives to their estimated residual value of zero.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useful lives are 11.8 years for the remaining favorable lease terms, at inception.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BORROWINGS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Borrowings as of June 30, 2020 and December 31, 2019 consisted of the following:</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404,280</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67,035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90,086</w:t>
            </w:r>
          </w:p>
        </w:tc>
      </w:tr>
      <w:tr>
        <w:trPr>
          <w:trHeight w:val="236"/>
        </w:trPr>
        <w:tc>
          <w:tcPr>
            <w:tcW w:w="8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492,915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494,366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Less: Current portion of long-term borrowings, net</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(93,539)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(59,780)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finance costs, net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440" w:type="dxa"/>
            <w:vAlign w:val="bottom"/>
          </w:tcPr>
          <w:p>
            <w:pPr>
              <w:spacing w:after="0"/>
              <w:rPr>
                <w:sz w:val="20"/>
                <w:szCs w:val="20"/>
                <w:color w:val="auto"/>
              </w:rPr>
            </w:pPr>
            <w:r>
              <w:rPr>
                <w:rFonts w:ascii="Arial" w:cs="Arial" w:eastAsia="Arial" w:hAnsi="Arial"/>
                <w:sz w:val="18"/>
                <w:szCs w:val="18"/>
                <w:b w:val="1"/>
                <w:bCs w:val="1"/>
                <w:color w:val="auto"/>
              </w:rPr>
              <w:t>Long-term borrowings, net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394,640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429,248</w:t>
            </w:r>
          </w:p>
        </w:tc>
      </w:tr>
      <w:tr>
        <w:trPr>
          <w:trHeight w:val="216"/>
        </w:trPr>
        <w:tc>
          <w:tcPr>
            <w:tcW w:w="8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total borrowings, net of deferred finance fees under the Navios Partners’ credit facilities were $488,179.</w:t>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2020, the Company had secured credit facilities with various banks with a total outstanding balance of $425,880. The purpose of the facilities was to finance the construction or acquisition of vessels or refinance existing indebtedness. All of the facilities are denominated in U.S. dollars and bear interest based on LIBOR plus spread ranging from 2.6% to 7.0% per annum. The facilities are repayable in either semi-annual or quarterly installments, followed by balloon payments with maturities, ranging from September 2020 to June 2025. See also the maturity table included below.</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26, 2020, the Company entered into a new credit facility with ABN Amro Bank N.V. of up to $32,200 in order to finance the purchase of the five drybulk vessels acquired from Navios Europe II. The credit facility is repayable in four consecutive quarterly installments of $1,190, with a final balloon payment of $24,715 to be repaid on the last repayment date. The facility matures in the second quarter of 2021 and bears interest at LIBOR plus 400 bps per annum up to December 31, 2020 and 425 bps per annum up to maturity date. As of June 30, 2020, the total outstanding balance was $29,475.</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25, 2020, the Company entered into a new credit facility with Hellenic Bank Public Company Limited for the refinancing of the existing ABN credit facility, relating to four of the containerships, of up to $17,000. The credit facility is repayable in four consecutive quarterly installments of $520 and 10 consecutive quarterly installments of $660, with a final balloon payment of $8,320 to be repaid on the last repayment date. The facility matures in the fourth quarter of 2023 and bears interest at LIBOR plus 350 bps per annum. As of June 30, 2020, the total outstanding balance was $17,000.</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Amounts drawn under the credit facilities are secured by first preferred mortgages on certain Navios Partners’ vessels and other collateral and are guaranteed by the respective vessel-owning subsidiaries. The credit facilities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15.0%; and subordinating the obligations under the credit facilities to any general and administrative costs relating to the vessels, including the fixed daily fee payable under the management agreement.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facilities require compliance with a number of financial covenants, including: (i) maintain a required security amount ranging over 120% to 140%; (ii) minimum free consolidated liquidity in an amount equal to at least $500 to $650 per owned vessel; (iii) maintain a ratio of EBITDA to interest expense of at least 2.00:1.00; (iv) maintain a ratio of total liabilities or total debt to total assets (as defined in our credit facilities) of less than 0.75; and (v) maintain a minimum net worth to $135,000.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an event of default under the credit facilities if such covenants are not complied with in accordance with the terms and subject to the prepayments or cure provisions of the facilities.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Navios Partners was in compliance with the financial covenants and/or the prepayments and/or the cure provisions, as applicable, in each of its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2018, the Company entered into two sale and leaseback agreements of $25,000 in total, with unrelated third parties for the Navios Fantastiks and the Navios Beaufiks. Navios Partners has a purchase obligation to acquire the vessels at the end of the lease term and under ASC 842-40, the transfer of the vessels was determined to be a failed sale. In accordance with ASC 842-40, the Company did not derecognize the respective vessels from its balance sheet and accounted for the amounts received under the sale and leaseback agreements as a financial liability. Navios Partners is obligated to make 69 and 60 consecutive monthly payments, of approximately $161 and $155 each, respectively, commencing as of December 2018. As of June 30, 2020, the outstanding balance under the sale and leaseback agreements of the Navios Fantastiks and the Navios Beaufiks was $21,869 in total. The agreements mature in the third quarter of 2024 and fourth quarter of 2023, respectively, with a purchase obligation of $6,300 per vessel on the last repayment date.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5, 2019, the Company entered into a new sale and leaseback agreement of $20,000, with unrelated third parties for the Navios Sol, a 2009-built Capesize vessel of 180,274 dwt. Navios Partners has a purchase obligation to acquire the vessel at the end of the lease term and under ASC 842-40, the transfer of the vessel was determined to be a failed sale. The vessel was not derecognized and continues to be depreciated over its useful life and tested for impairment as per the Company’s policy. On April 11, 2019, the amount of $20,000 was drawn. Navios Partners is obligated to make 120 consecutive monthly payments of approximately $190 each, commencing as of April 2019. As of June 30, 2020, the outstanding balance under the sale and leaseback agreement of the Navios Sol was $18,637. The agreement matures in the second quarter of 2029, with a purchase obligation of $6,300 on the last repayment date.</w:t>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On June 7, 2019, the Company entered into a new sale and leaseback agreement of $7,500, with unrelated third parties for the Navios Sagittarius, a 2006-built Panamax vessel of 75,756 dwt. Navios Partners has a purchase obligation to acquire the vessel at the end of the lease term and under ASC 842-40, the transfer of the vessel was determined to be a failed sale. The vessel was not derecognized and continues to be depreciated over its useful life and tested for impairment as per the Company’s policy. On June 28, 2019, the amount of $7,500 was drawn. Navios Partners is obligated to make 36 consecutive monthly payments of approximately $178 each, commencing as of June 2019. As of June 30, 2020, the outstanding balance under the sale and leaseback agreement of the Navios Sagittarius was $5,629. The agreement matures in the second quarter of 2022, with a purchase obligation of $2,000 on the last repayment date.</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 2019, the Company entered into a new sale and leaseback agreement of $22,000, with unrelated third parties for the Navios Ace, a 2011-built Capesize vessel of 179,016 dwt. Navios Partners has a purchase obligation to acquire the vessel at the end of the lease term and under ASC 842-40, the transfer of the vessel was determined to be a failed sale. The vessel was not derecognized and continues to be depreciated over its useful life and tested for impairment as per the Company’s policy. On July 24, 2019, the amount of $22,000 was drawn. Navios Partners is obligated to make 132 consecutive monthly payments of approximately $198 each, commencing as of July 2019. As of June 30, 2020, the outstanding balance under the sale and leaseback agreement of the Navios Ace was $20,900. The agreement matures in the third quarter of 2030, with a purchase obligation of $6,300 on the last repayment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Liabilities have no financial covenants.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maturity table below reflects the principal payments for the next five years and thereafter of all borrowings of Navios Partners outstanding as of June 30, 2020, based on the repayment schedules of the respective credit facilities and financial liabilities (as described above):</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9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95,587</w:t>
            </w:r>
          </w:p>
        </w:tc>
        <w:tc>
          <w:tcPr>
            <w:tcW w:w="360" w:type="dxa"/>
            <w:vAlign w:val="bottom"/>
            <w:tcBorders>
              <w:top w:val="single" w:sz="8" w:color="CCEEFF"/>
            </w:tcBorders>
            <w:gridSpan w:val="2"/>
            <w:shd w:val="clear" w:color="auto" w:fill="CCEEFF"/>
          </w:tcPr>
          <w:p>
            <w:pPr>
              <w:spacing w:after="0"/>
              <w:rPr>
                <w:sz w:val="17"/>
                <w:szCs w:val="17"/>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155,035</w:t>
            </w:r>
          </w:p>
        </w:tc>
        <w:tc>
          <w:tcPr>
            <w:tcW w:w="34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63,490</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121,462</w:t>
            </w:r>
          </w:p>
        </w:tc>
        <w:tc>
          <w:tcPr>
            <w:tcW w:w="34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57,341</w:t>
            </w:r>
          </w:p>
        </w:tc>
      </w:tr>
      <w:tr>
        <w:trPr>
          <w:trHeight w:val="20"/>
        </w:trPr>
        <w:tc>
          <w:tcPr>
            <w:tcW w:w="9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9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492,915</w:t>
            </w:r>
          </w:p>
        </w:tc>
        <w:tc>
          <w:tcPr>
            <w:tcW w:w="340" w:type="dxa"/>
            <w:vAlign w:val="bottom"/>
          </w:tcPr>
          <w:p>
            <w:pPr>
              <w:spacing w:after="0"/>
              <w:rPr>
                <w:sz w:val="24"/>
                <w:szCs w:val="24"/>
                <w:color w:val="auto"/>
              </w:rPr>
            </w:pPr>
          </w:p>
        </w:tc>
      </w:tr>
      <w:tr>
        <w:trPr>
          <w:trHeight w:val="216"/>
        </w:trPr>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carrying amounts reported in the condensed Consolidated Balance Sheets for interest bearing deposits approximate their</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because of the short maturity of these investments.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The carrying amounts reported in the condensed Consolidated Balance Sheets for interest bearing deposits approximate their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the short maturity of these investments.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Amounts due from related parties, short-term: </w:t>
      </w:r>
      <w:r>
        <w:rPr>
          <w:rFonts w:ascii="Arial" w:cs="Arial" w:eastAsia="Arial" w:hAnsi="Arial"/>
          <w:sz w:val="18"/>
          <w:szCs w:val="18"/>
          <w:color w:val="auto"/>
        </w:rPr>
        <w:t>The carrying amount of due from related parties, short-term reported in the balance sheet approximates</w:t>
      </w:r>
      <w:r>
        <w:rPr>
          <w:rFonts w:ascii="Arial" w:cs="Arial" w:eastAsia="Arial" w:hAnsi="Arial"/>
          <w:sz w:val="18"/>
          <w:szCs w:val="18"/>
          <w:b w:val="1"/>
          <w:bCs w:val="1"/>
          <w:color w:val="auto"/>
        </w:rPr>
        <w:t xml:space="preserve"> </w:t>
      </w:r>
      <w:r>
        <w:rPr>
          <w:rFonts w:ascii="Arial" w:cs="Arial" w:eastAsia="Arial" w:hAnsi="Arial"/>
          <w:sz w:val="18"/>
          <w:szCs w:val="18"/>
          <w:color w:val="auto"/>
        </w:rPr>
        <w:t>its fair value due to the short-term nature of these receivables.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Loans receivable from affiliates: </w:t>
      </w:r>
      <w:r>
        <w:rPr>
          <w:rFonts w:ascii="Arial" w:cs="Arial" w:eastAsia="Arial" w:hAnsi="Arial"/>
          <w:sz w:val="18"/>
          <w:szCs w:val="18"/>
          <w:color w:val="auto"/>
        </w:rPr>
        <w:t>The carrying amount of the fixed rate loan approximates its fair value.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Amounts due from related parties, long-term: </w:t>
      </w:r>
      <w:r>
        <w:rPr>
          <w:rFonts w:ascii="Arial" w:cs="Arial" w:eastAsia="Arial" w:hAnsi="Arial"/>
          <w:sz w:val="18"/>
          <w:szCs w:val="18"/>
          <w:color w:val="auto"/>
        </w:rPr>
        <w:t>The carrying amount of due from related parties long-term reported in the balance sheet approximates its</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due to the long-term nature of these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receivable, net of current portion: </w:t>
      </w:r>
      <w:r>
        <w:rPr>
          <w:rFonts w:ascii="Arial" w:cs="Arial" w:eastAsia="Arial" w:hAnsi="Arial"/>
          <w:sz w:val="18"/>
          <w:szCs w:val="18"/>
          <w:color w:val="auto"/>
        </w:rPr>
        <w:t>The carrying amount of the fixed rate notes receivable approximate its fair value.</w:t>
      </w:r>
    </w:p>
    <w:p>
      <w:pPr>
        <w:spacing w:after="0" w:line="200" w:lineRule="exact"/>
        <w:rPr>
          <w:sz w:val="20"/>
          <w:szCs w:val="20"/>
          <w:color w:val="auto"/>
        </w:rPr>
      </w:pPr>
    </w:p>
    <w:p>
      <w:pPr>
        <w:spacing w:after="0" w:line="24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Amounts due to related parties, short-term: </w:t>
      </w:r>
      <w:r>
        <w:rPr>
          <w:rFonts w:ascii="Arial" w:cs="Arial" w:eastAsia="Arial" w:hAnsi="Arial"/>
          <w:sz w:val="18"/>
          <w:szCs w:val="18"/>
          <w:color w:val="auto"/>
        </w:rPr>
        <w:t>The carrying amount of due to related parties, short-term reported in the balance sheet approximates its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due to the short-term nature of these payables.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borrowings, net: </w:t>
      </w:r>
      <w:r>
        <w:rPr>
          <w:rFonts w:ascii="Arial" w:cs="Arial" w:eastAsia="Arial" w:hAnsi="Arial"/>
          <w:sz w:val="18"/>
          <w:szCs w:val="18"/>
          <w:color w:val="auto"/>
        </w:rPr>
        <w:t>The book value has been adjusted to reflect the net presentation of deferred finance fees. The outstanding balance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floating rate loans continues to approximate its fair value, excluding the effect of any deferred finance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Navios Partners’ financial instruments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Book Value</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Book Value</w:t>
            </w: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6,632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6,632</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7,048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10,722</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16,192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16,192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Notes receivable, net of current portion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7,781</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7,554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7,554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 short-term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26,036</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Long-term borrowings,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(488,179)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(492,915)</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(489,028)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(494,366)</w:t>
            </w:r>
          </w:p>
        </w:tc>
      </w:tr>
    </w:tbl>
    <w:p>
      <w:pPr>
        <w:sectPr>
          <w:pgSz w:w="11900" w:h="16838" w:orient="portrait"/>
          <w:cols w:equalWidth="0" w:num="1">
            <w:col w:w="11240"/>
          </w:cols>
          <w:pgMar w:left="320" w:top="692" w:right="339" w:bottom="0" w:gutter="0" w:footer="0" w:header="0"/>
        </w:sectPr>
      </w:pPr>
    </w:p>
    <w:bookmarkStart w:id="36" w:name="page37"/>
    <w:bookmarkEnd w:id="3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fair value of our financial instruments that are not measured at fair value on a recurring basis, categorized based upon the fair value hierarchy, are as follows: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I: Inputs are unadjusted, quoted prices for identical assets or liabilities in active markets that we have the ability to access. Valuation of these items does not entail a significant amount of judgment.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II: Inputs other than quoted prices included in Level I that are observable for the asset or liability through corroboration with market data at the measurement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III: Inputs that are unobservable. The Company did not use any Level III inputs as of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4"/>
              </w:rPr>
              <w:t>Fair Value Measurements at June 30, 2020</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I</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Level II</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III</w:t>
            </w: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10,722</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Notes receivable, net of current portion</w:t>
            </w:r>
            <w:r>
              <w:rPr>
                <w:rFonts w:ascii="Arial" w:cs="Arial" w:eastAsia="Arial" w:hAnsi="Arial"/>
                <w:sz w:val="25"/>
                <w:szCs w:val="25"/>
                <w:color w:val="auto"/>
                <w:vertAlign w:val="superscript"/>
              </w:rPr>
              <w:t>(2)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7,781</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 short-term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26,036</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332"/>
        </w:trPr>
        <w:tc>
          <w:tcPr>
            <w:tcW w:w="5740" w:type="dxa"/>
            <w:vAlign w:val="bottom"/>
          </w:tcPr>
          <w:p>
            <w:pPr>
              <w:spacing w:after="0"/>
              <w:rPr>
                <w:sz w:val="20"/>
                <w:szCs w:val="20"/>
                <w:color w:val="auto"/>
              </w:rPr>
            </w:pPr>
            <w:r>
              <w:rPr>
                <w:rFonts w:ascii="Arial" w:cs="Arial" w:eastAsia="Arial" w:hAnsi="Arial"/>
                <w:sz w:val="18"/>
                <w:szCs w:val="18"/>
                <w:color w:val="auto"/>
              </w:rPr>
              <w:t xml:space="preserve">Long-term borrowings, net </w:t>
            </w:r>
            <w:r>
              <w:rPr>
                <w:rFonts w:ascii="Arial" w:cs="Arial" w:eastAsia="Arial" w:hAnsi="Arial"/>
                <w:sz w:val="25"/>
                <w:szCs w:val="25"/>
                <w:color w:val="auto"/>
                <w:vertAlign w:val="superscript"/>
              </w:rPr>
              <w:t>(1)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(492,915)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(492,915)</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316"/>
        </w:trPr>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I</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Level II</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III</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7,048</w:t>
            </w:r>
          </w:p>
        </w:tc>
        <w:tc>
          <w:tcPr>
            <w:tcW w:w="3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19,108</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16,192</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13,757</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Notes receivable, net of current portion</w:t>
            </w:r>
            <w:r>
              <w:rPr>
                <w:rFonts w:ascii="Arial" w:cs="Arial" w:eastAsia="Arial" w:hAnsi="Arial"/>
                <w:sz w:val="25"/>
                <w:szCs w:val="25"/>
                <w:color w:val="auto"/>
                <w:vertAlign w:val="superscript"/>
              </w:rPr>
              <w:t>(2)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7,554</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Long-term borrowings, net</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(494,366)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(494,366)</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60" w:right="2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of the Company’s debt is estimated based on currently available debt with similar contract terms, interest rate and remaining maturities as well as taking into account our creditworthiness.</w:t>
      </w:r>
    </w:p>
    <w:p>
      <w:pPr>
        <w:spacing w:after="0" w:line="170"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is estimated based on currently available information on the Company’s counterparty with similar contract terms, interest rate and remaining maturities.</w:t>
      </w:r>
    </w:p>
    <w:p>
      <w:pPr>
        <w:spacing w:after="0" w:line="25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estimated fair value of our financial instruments that are measured at fair value on a non-recurring basis, categorized based upon the fair value hierarchy,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7"/>
              </w:rPr>
              <w:t>Fair Value Measurements at June 30, 2020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Level I</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III</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net (for Protostar N, Harmony N and Esperanza N)</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390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Fair Value Measurements at December 31, 2019</w:t>
            </w:r>
          </w:p>
        </w:tc>
        <w:tc>
          <w:tcPr>
            <w:tcW w:w="60" w:type="dxa"/>
            <w:vAlign w:val="bottom"/>
          </w:tcPr>
          <w:p>
            <w:pPr>
              <w:spacing w:after="0"/>
              <w:rPr>
                <w:sz w:val="14"/>
                <w:szCs w:val="14"/>
                <w:color w:val="auto"/>
              </w:rPr>
            </w:pPr>
          </w:p>
        </w:tc>
      </w:tr>
      <w:tr>
        <w:trPr>
          <w:trHeight w:val="210"/>
        </w:trPr>
        <w:tc>
          <w:tcPr>
            <w:tcW w:w="728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Level II</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III</w:t>
            </w: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net (for Navios Galaxy I)</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$ 5,978</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$ 5,978</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ISSUANCE OF UNITS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2019, Navios Partners authorized the granting of 4,000 restricted common units, which were issued on December 18, 2019, to its directors and officers, which are based solely on service conditions and vest over four years. The effect of compensation expense arising from the restricted common units described above amounted to $9 and $18 for the three and six month periods ended June 30, 2020 and was presented under the caption “General and administrative expenses” in the condensed Consolidated Statements of Operations. There were no restricted common units exercised, forfeited or expired during the three month period ended June 30, 2020. As of June 30, 2020, none of the restricted common units issued in December 2019 were vested.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25, 2019, Navios Partners announced that its Board of Directors had approved 1-for-15 reverse stock split of its issued and outstanding shares of common units and general partner units. The reverse stock split was effective on May 21, 2019 and the common units commenced trading on such date on a split adjusted basis.</w:t>
      </w:r>
    </w:p>
    <w:p>
      <w:pPr>
        <w:sectPr>
          <w:pgSz w:w="11900" w:h="16838" w:orient="portrait"/>
          <w:cols w:equalWidth="0" w:num="1">
            <w:col w:w="11240"/>
          </w:cols>
          <w:pgMar w:left="320" w:top="796" w:right="339" w:bottom="172" w:gutter="0" w:footer="0" w:header="0"/>
        </w:sectPr>
      </w:pPr>
    </w:p>
    <w:bookmarkStart w:id="38" w:name="page39"/>
    <w:bookmarkEnd w:id="38"/>
    <w:p>
      <w:pPr>
        <w:jc w:val="both"/>
        <w:spacing w:after="0" w:line="293" w:lineRule="auto"/>
        <w:rPr>
          <w:sz w:val="20"/>
          <w:szCs w:val="20"/>
          <w:color w:val="auto"/>
        </w:rPr>
      </w:pPr>
      <w:r>
        <w:rPr>
          <w:rFonts w:ascii="Arial" w:cs="Arial" w:eastAsia="Arial" w:hAnsi="Arial"/>
          <w:sz w:val="16"/>
          <w:szCs w:val="16"/>
          <w:color w:val="auto"/>
        </w:rPr>
        <w:t>In February 2019, Navios Partners authorized the granting of 25,396 restricted common units, which were issued on February 1, 2019, to its directors and officers, which are based solely on service conditions and vest over four years. The fair value of restricted common units was determined by reference to the quoted stock price on the date of grant. Compensation expense, net of estimated forfeitures, is recognized based on a graded expense model over the vesting period. Navios Partners also issued 518 general partnership units to its general partner for net proceeds of $8. The effect of compensation expense arising from the restricted common units described above for the three and six month periods ended June 30, 2020, amounted to $27 and $61, respectively, and was presented under the caption “General and administrative expenses” in the condensed Consolidated Statements of Operations.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2019, the Board of Directors of Navios Partners authorized a common unit repurchase program for up to $50,000 of the Company’s common units over a two year period. The program does not require any minimum repurchase or any specific number of common units and may be suspended or reinstated at any time in Navios Partners’ discretion and without notice. The Board of Directors will review the program periodically. Repurchases are subject to restrictions under Navios Partners’ credit facilities. As of June 30, 2020, Navios Partners had repurchased and cancelled 312,952 common units on a split adjusted basis, for a total cost of approximately $4,499.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Restricted common units outstanding and not vested were 140,191 shares on a split adjusted basis as of June 30,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compensation expense arising from the restricted common units granted in December 2018 and 2017, amounted to $202 and $404 for the three and six month periods ended June 30, 2020 and was presented under the caption “General and administrative expenses” in the condensed Consolidated Statements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estimated compensation cost relating to service conditions of non-vested restricted common units granted in 2017, 2018 and 2019 not yet recognized was $1,042.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Navios Holdings currently owns an approximately 18.8% common unit interest in Navios Partners. The General Partner currently owns a 2.1% general partner interest in Navios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Navios Partners reports financial information and evaluates its operations by charter revenues. Navios Partners does not use discrete financial information to evaluate operating results for each type of charter</w:t>
      </w:r>
    </w:p>
    <w:p>
      <w:pPr>
        <w:sectPr>
          <w:pgSz w:w="11900" w:h="16838" w:orient="portrait"/>
          <w:cols w:equalWidth="0" w:num="1">
            <w:col w:w="11240"/>
          </w:cols>
          <w:pgMar w:left="320" w:top="125"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or by sector. As a result, management reviews operating results solely by revenue per day and operating results of the fleet and thus Navios Partners has determined that it operates under one reportable segment.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out operating revenue by geographic region for Navios Partners’ reportable segment. Revenue is allocated on the basis of the geographic region in which the customer is located. Drybulk and containerships operate worldwide. Revenues from specific geographic region, which contribute over 10% of total revenue, are disclosed separately.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Geographic Region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Vessels operate on a worldwide basis and are not restricted to specific locations. Accordingly, it is not possible to allocate the assets of these operations to specific countries.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Three Month</w:t>
            </w:r>
          </w:p>
        </w:tc>
        <w:tc>
          <w:tcPr>
            <w:tcW w:w="100" w:type="dxa"/>
            <w:vAlign w:val="bottom"/>
          </w:tcPr>
          <w:p>
            <w:pPr>
              <w:spacing w:after="0"/>
              <w:rPr>
                <w:sz w:val="14"/>
                <w:szCs w:val="14"/>
                <w:color w:val="auto"/>
              </w:rPr>
            </w:pP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Six Month</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Six Month</w:t>
            </w:r>
          </w:p>
        </w:tc>
      </w:tr>
      <w:tr>
        <w:trPr>
          <w:trHeight w:val="148"/>
        </w:trPr>
        <w:tc>
          <w:tcPr>
            <w:tcW w:w="3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100" w:type="dxa"/>
            <w:vAlign w:val="bottom"/>
          </w:tcPr>
          <w:p>
            <w:pPr>
              <w:spacing w:after="0"/>
              <w:rPr>
                <w:sz w:val="12"/>
                <w:szCs w:val="12"/>
                <w:color w:val="auto"/>
              </w:rPr>
            </w:pP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80" w:type="dxa"/>
            <w:vAlign w:val="bottom"/>
          </w:tcPr>
          <w:p>
            <w:pPr>
              <w:spacing w:after="0"/>
              <w:rPr>
                <w:sz w:val="12"/>
                <w:szCs w:val="12"/>
                <w:color w:val="auto"/>
              </w:rPr>
            </w:pPr>
          </w:p>
        </w:tc>
        <w:tc>
          <w:tcPr>
            <w:tcW w:w="10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Period ended</w:t>
            </w:r>
          </w:p>
        </w:tc>
      </w:tr>
      <w:tr>
        <w:trPr>
          <w:trHeight w:val="171"/>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0"/>
              </w:rPr>
              <w:t>June 30, 2019</w:t>
            </w:r>
          </w:p>
        </w:tc>
        <w:tc>
          <w:tcPr>
            <w:tcW w:w="14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June 30, 2020</w:t>
            </w:r>
          </w:p>
        </w:tc>
        <w:tc>
          <w:tcPr>
            <w:tcW w:w="1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w:t>
            </w:r>
          </w:p>
        </w:tc>
        <w:tc>
          <w:tcPr>
            <w:tcW w:w="2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29,495</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27,266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58,022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53,917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Europe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12,801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20,334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38,245</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8"/>
                <w:szCs w:val="18"/>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Australia</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r>
      <w:tr>
        <w:trPr>
          <w:trHeight w:val="148"/>
        </w:trPr>
        <w:tc>
          <w:tcPr>
            <w:tcW w:w="3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4"/>
        </w:trPr>
        <w:tc>
          <w:tcPr>
            <w:tcW w:w="3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46,549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93,039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94,563</w:t>
            </w:r>
          </w:p>
        </w:tc>
        <w:tc>
          <w:tcPr>
            <w:tcW w:w="100" w:type="dxa"/>
            <w:vAlign w:val="bottom"/>
            <w:shd w:val="clear" w:color="auto" w:fill="CCEEFF"/>
          </w:tcPr>
          <w:p>
            <w:pPr>
              <w:spacing w:after="0"/>
              <w:rPr>
                <w:sz w:val="18"/>
                <w:szCs w:val="18"/>
                <w:color w:val="auto"/>
              </w:rPr>
            </w:pPr>
          </w:p>
        </w:tc>
      </w:tr>
      <w:tr>
        <w:trPr>
          <w:trHeight w:val="148"/>
        </w:trPr>
        <w:tc>
          <w:tcPr>
            <w:tcW w:w="3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3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Marshall Islands, Malta and Liberia do not impose a tax on international shipping income. Under the laws of Marshall Islands, Malta and Liberia, the countries of the vessel-owning subsidiaries’ incorporation and vessels’ registration, the vessel-owning subsidiaries are subject to registration and tonnage taxes, which have been included in vessel operating expenses in the accompanying condensed Consolidated Statements of Operations.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 tonnage. The payment of said duties exhausts the tax liability of the foreign ship owning company and the relevant manager against any tax, duty, charge or contribution payable on income from the exploitation of the foreign flagged vessel.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883 of the Internal Revenue Code of the United States, U.S. source income from the international operation of ships is generally exempt from U.S. income tax if the company operating the ships meets certain incorporation and ownership requirements. Among other things, in order to qualify for this exemption, the company operating the ships must be incorporated in a country, which grants an equivalent exemption from income taxes to U.S. corporations. All the vessel-owning subsidiaries satisfy these initial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these companies must meet an ownership test. The management of Navios Partners believes that this ownership test was satisfied prior to the IPO by virtue of a special rule applicable to situations where the ship operating companies are beneficially owned by a publicly traded company. Although not free from doubt, management also believes that the ownership test will be satisfied based on the trading volume and ownership of Navios Partners’ units, but no assurance can be given that this will remain so in the future.</w:t>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Navios Partners is involved in various disputes and arbitration proceedings arising in the ordinary course of business. Provisions have been recognized in the financial statements for all such proceedings where Navios Partners believes that a liability may be probable, and for which the amounts are reasonably estimable, based upon facts known at the date the financial statements were prepared. Management believes the ultimate disposition of these matters will be immaterial individually and in the aggregate to Navios Partners’ financial position, results of operations or liquidity.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2017, Navios Partners agreed to charter-in, under a ten-year bareboat contract, from an unrelated third party, the Navios Libra, a newbuilding Panamax vessel of 82,011 dwt, delivered on July 24, 2019. Navios Partners has agreed to pay in total $5,540, representing a deposit for the option to acquire the vessel after the end of the fourth year, of which the first half amounted to $2,770 was paid during the year ended December 31, 2017 and the second half amounted to $2,770 was paid during the year ended December 31, 2018. As of June 30, 2020, the total amount of $6,651, including refundable upon vessel’s redelivery expenses, is presented under the caption “Other long-term assets” in the condensed Consolidated Balance Sheets.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18, 2019, Navios Partners agreed to bareboat charter-in two new building Kamsarmax vessels. Each vessel has approximately 81,000 dwt and is being bareboat chartered-in for ten years. Navios Partners has the option to acquire the vessels after the end of the fourth year for the remaining period of the bareboat charter. Navios Partners has agreed to pay in total $12,328, representing a deposit for the option to acquire the vessels after the end of the fourth year, of which $1,434 was paid during the year ended December 31, 2019, $4,300 was paid during the period ended June 30, 2020, $5,734 will be paid in July 2020 and the remaining amount of $860 will be paid upon the delivery of the vessels. As of June 30, 2020, the total amount of $5,949, including expenses, is presented under the caption “Other long-term assets” in the condensed Consolidated Balance Sheets. The vessels are expected to be delivered by the first half of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Company’s future minimum lease commitments under the Company’s charter-in contracts, are as follows: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360" w:type="dxa"/>
            <w:vAlign w:val="bottom"/>
            <w:tcBorders>
              <w:top w:val="single" w:sz="8" w:color="CCEEFF"/>
            </w:tcBorders>
            <w:shd w:val="clear" w:color="auto" w:fill="CCEEFF"/>
          </w:tcPr>
          <w:p>
            <w:pPr>
              <w:spacing w:after="0"/>
              <w:rPr>
                <w:sz w:val="19"/>
                <w:szCs w:val="19"/>
                <w:color w:val="auto"/>
              </w:rPr>
            </w:pPr>
          </w:p>
        </w:tc>
      </w:tr>
      <w:tr>
        <w:trPr>
          <w:trHeight w:val="243"/>
        </w:trPr>
        <w:tc>
          <w:tcPr>
            <w:tcW w:w="95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6,669</w:t>
            </w:r>
          </w:p>
        </w:tc>
      </w:tr>
      <w:tr>
        <w:trPr>
          <w:trHeight w:val="243"/>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6,583</w:t>
            </w:r>
          </w:p>
        </w:tc>
      </w:tr>
      <w:tr>
        <w:trPr>
          <w:trHeight w:val="243"/>
        </w:trPr>
        <w:tc>
          <w:tcPr>
            <w:tcW w:w="954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6,592</w:t>
            </w:r>
          </w:p>
        </w:tc>
      </w:tr>
      <w:tr>
        <w:trPr>
          <w:trHeight w:val="243"/>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6,388</w:t>
            </w:r>
          </w:p>
        </w:tc>
      </w:tr>
      <w:tr>
        <w:trPr>
          <w:trHeight w:val="243"/>
        </w:trPr>
        <w:tc>
          <w:tcPr>
            <w:tcW w:w="9540" w:type="dxa"/>
            <w:vAlign w:val="bottom"/>
          </w:tcPr>
          <w:p>
            <w:pPr>
              <w:spacing w:after="0"/>
              <w:rPr>
                <w:sz w:val="20"/>
                <w:szCs w:val="20"/>
                <w:color w:val="auto"/>
              </w:rPr>
            </w:pPr>
            <w:r>
              <w:rPr>
                <w:rFonts w:ascii="Arial" w:cs="Arial" w:eastAsia="Arial" w:hAnsi="Arial"/>
                <w:sz w:val="18"/>
                <w:szCs w:val="18"/>
                <w:color w:val="auto"/>
              </w:rPr>
              <w:t>2026 and thereafter</w:t>
            </w:r>
          </w:p>
        </w:tc>
        <w:tc>
          <w:tcPr>
            <w:tcW w:w="26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33,403</w:t>
            </w:r>
          </w:p>
        </w:tc>
      </w:tr>
      <w:tr>
        <w:trPr>
          <w:trHeight w:val="189"/>
        </w:trPr>
        <w:tc>
          <w:tcPr>
            <w:tcW w:w="9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34"/>
        </w:trPr>
        <w:tc>
          <w:tcPr>
            <w:tcW w:w="9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61,893</w:t>
            </w:r>
          </w:p>
        </w:tc>
      </w:tr>
      <w:tr>
        <w:trPr>
          <w:trHeight w:val="175"/>
        </w:trPr>
        <w:tc>
          <w:tcPr>
            <w:tcW w:w="9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9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TRANSACTIONS WITH RELATED PARTIES AND AFFILIATES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Vessel operating expenses (management fees): </w:t>
      </w:r>
      <w:r>
        <w:rPr>
          <w:rFonts w:ascii="Arial" w:cs="Arial" w:eastAsia="Arial" w:hAnsi="Arial"/>
          <w:sz w:val="16"/>
          <w:szCs w:val="16"/>
          <w:color w:val="auto"/>
        </w:rPr>
        <w:t>Pursuant to the amended management agreement, in each of October 2013, August 2014, February 2015,</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2016 and November 2017 (the “Management Agreement”), the Manager, provided commercial and technical management services to Navios Partners’ vessels for a daily fee (excluding drydocking expenses, which were reimbursed at cost by Navios Partners) of: (a) $4.23 daily rate per Ultra-Handymax vessel; (b) $4.33 daily rate per Panamax vessel; (c) $5.25 daily rate per Capesize vessel; (d) $6.70 daily rate per Containership of TEU 6,800;</w:t>
      </w:r>
    </w:p>
    <w:p>
      <w:pPr>
        <w:spacing w:after="0" w:line="2" w:lineRule="exact"/>
        <w:rPr>
          <w:sz w:val="20"/>
          <w:szCs w:val="20"/>
          <w:color w:val="auto"/>
        </w:rPr>
      </w:pPr>
    </w:p>
    <w:p>
      <w:pPr>
        <w:ind w:firstLine="8"/>
        <w:spacing w:after="0" w:line="260" w:lineRule="auto"/>
        <w:tabs>
          <w:tab w:leader="none" w:pos="2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$7.40 daily rate per Containership of more than TEU 8,000 and (f) $8.75 daily rate per very large Containership of more than TEU 13,000 through December 2019. These fixed daily fees cover our vessels’ operating expenses, other than certain extraordinary fees and costs.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2019, Navios Partners extended the duration of its Management Agreement with the Manager until January 1, 2025. In addition, management fees are fixed for two years commencing from January 1, 2020 at: (a) $4.35 daily per Ultra-Handymax Vessel; (b)$4.45 daily per Panamax Vessel; (c) $5.41 daily per Capesize Vessel; and (d) $6.90 daily per 6,800 TEU Containership. The agreement also provides for a technical and commercial management fee of $ 0.05 per day per vessel and an annual increase of 3% after January 1, 2022 unless agreed otherwise.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liquidation of Navios Europe I, Navios Partners acquired three Sub-Panamax and two Panamax Containerships. As per the Management Agreement, as amended in December 2019, management fees are fixed for two years commencing from January 1, 2020 at $ 6.1 daily per Sub-Panamax/Panamax Containership. The agreement also provides for a technical and commercial management fee of $0.05 per day per vessel and an annual increase of 3% after January 1, 2022 for the remaining period unless agreed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Drydocking expenses are reimbursed at cost for all vessels.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 periods ended June 30, 2020 certain extraordinary fees and costs related to vessels’ regulatory requirements including ballast water treatment system installation and exhaust gas cleaning system installation, under the Company’s management agreement amounted to $1,296 and $1,519, respectively, and are presented under “Acquisition of/addition to vessels” in the condensed Consolidated Statements of Cash Flow. For the three and six month periods ended June 30, 2019 certain extraordinary fees and costs related to vessels’ regulatory requirements including ballast water treatment system installation and exhaust gas cleaning system installation, under the Company’s management agreement amounted to $3,343 and $5,767, respectively.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vessel operating expenses for each of the three and six month periods ended June 30, 2020, amounted to $21,930 and $ 44,135, respectively. Total vessel operating expenses for each of the three and six month periods ended June 30, 2019, amounted to $16,496 and $33,106, respectively.</w:t>
      </w:r>
    </w:p>
    <w:p>
      <w:pPr>
        <w:spacing w:after="0" w:line="7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Pursuant to the Administrative Services Agreement, the Manager also provides administrative services to Navios</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Navios Partners extended the duration of its existing Administrative Services Agreement with the Manager,</w:t>
      </w:r>
    </w:p>
    <w:p>
      <w:pPr>
        <w:sectPr>
          <w:pgSz w:w="11900" w:h="16838" w:orient="portrait"/>
          <w:cols w:equalWidth="0" w:num="1">
            <w:col w:w="11240"/>
          </w:cols>
          <w:pgMar w:left="320" w:top="796" w:right="339" w:bottom="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until December 31, 2022. In August 2019, Navios Partners extended the duration of its existing administrative services agreement with the Manager until January 1, 2025, which provide for allocable general and administrative costs.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general and administrative expenses charged by the Manager for each of the three and six month periods ended June 30, 2020, amounted to $3,203 and $6,405, respectively. Total general and administrative expenses charged by the Manager for each of the three and six month periods ended June 30, 2019, amounted to $2,537 and $5,127, respectively.</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Balance due from related parties (excluding Navios Europe II): </w:t>
      </w:r>
      <w:r>
        <w:rPr>
          <w:rFonts w:ascii="Arial" w:cs="Arial" w:eastAsia="Arial" w:hAnsi="Arial"/>
          <w:sz w:val="16"/>
          <w:szCs w:val="16"/>
          <w:color w:val="auto"/>
        </w:rPr>
        <w:t>Balance due from related parties as of June 30, 2020 and December 31, 2019 amounted</w:t>
      </w:r>
      <w:r>
        <w:rPr>
          <w:rFonts w:ascii="Arial" w:cs="Arial" w:eastAsia="Arial" w:hAnsi="Arial"/>
          <w:sz w:val="16"/>
          <w:szCs w:val="16"/>
          <w:b w:val="1"/>
          <w:bCs w:val="1"/>
          <w:color w:val="auto"/>
        </w:rPr>
        <w:t xml:space="preserve"> </w:t>
      </w:r>
      <w:r>
        <w:rPr>
          <w:rFonts w:ascii="Arial" w:cs="Arial" w:eastAsia="Arial" w:hAnsi="Arial"/>
          <w:sz w:val="16"/>
          <w:szCs w:val="16"/>
          <w:color w:val="auto"/>
        </w:rPr>
        <w:t>to $ 10,722 and $25,582, respectively of which for the year ended December 31, 2019, the current receivable was $11,825 and the long-term receivable was $13,757. The balance mainly consisted of the guarantee claim receivable from the Navios Holdings Guarantee amounted to $10,000.</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Balance due to related parties: </w:t>
      </w:r>
      <w:r>
        <w:rPr>
          <w:rFonts w:ascii="Arial" w:cs="Arial" w:eastAsia="Arial" w:hAnsi="Arial"/>
          <w:sz w:val="18"/>
          <w:szCs w:val="18"/>
          <w:color w:val="auto"/>
        </w:rPr>
        <w:t>Balance due to related parties, short-term as of June 30, 2020 and December 31, 2019 amounted to $ 26,036 and $0,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mainly consisted of payables to the Manager.</w:t>
      </w:r>
    </w:p>
    <w:p>
      <w:pPr>
        <w:sectPr>
          <w:pgSz w:w="11900" w:h="16838" w:orient="portrait"/>
          <w:cols w:equalWidth="0" w:num="1">
            <w:col w:w="11240"/>
          </w:cols>
          <w:pgMar w:left="320" w:top="125" w:right="339" w:bottom="1440" w:gutter="0" w:footer="0" w:header="0"/>
        </w:sectPr>
      </w:pPr>
    </w:p>
    <w:bookmarkStart w:id="42" w:name="page43"/>
    <w:bookmarkEnd w:id="42"/>
    <w:p>
      <w:pPr>
        <w:jc w:val="both"/>
        <w:spacing w:after="0" w:line="266" w:lineRule="auto"/>
        <w:rPr>
          <w:sz w:val="20"/>
          <w:szCs w:val="20"/>
          <w:color w:val="auto"/>
        </w:rPr>
      </w:pPr>
      <w:r>
        <w:rPr>
          <w:rFonts w:ascii="Arial" w:cs="Arial" w:eastAsia="Arial" w:hAnsi="Arial"/>
          <w:sz w:val="18"/>
          <w:szCs w:val="18"/>
          <w:b w:val="1"/>
          <w:bCs w:val="1"/>
          <w:color w:val="auto"/>
        </w:rPr>
        <w:t xml:space="preserve">Balance due from Navios Europe II: </w:t>
      </w:r>
      <w:r>
        <w:rPr>
          <w:rFonts w:ascii="Arial" w:cs="Arial" w:eastAsia="Arial" w:hAnsi="Arial"/>
          <w:sz w:val="18"/>
          <w:szCs w:val="18"/>
          <w:color w:val="auto"/>
        </w:rPr>
        <w:t>Navios Holdings, Navios Acquisition and Navios Partners have made available to Navios Europe II revolving loans</w:t>
      </w:r>
      <w:r>
        <w:rPr>
          <w:rFonts w:ascii="Arial" w:cs="Arial" w:eastAsia="Arial" w:hAnsi="Arial"/>
          <w:sz w:val="18"/>
          <w:szCs w:val="18"/>
          <w:b w:val="1"/>
          <w:bCs w:val="1"/>
          <w:color w:val="auto"/>
        </w:rPr>
        <w:t xml:space="preserve"> </w:t>
      </w:r>
      <w:r>
        <w:rPr>
          <w:rFonts w:ascii="Arial" w:cs="Arial" w:eastAsia="Arial" w:hAnsi="Arial"/>
          <w:sz w:val="18"/>
          <w:szCs w:val="18"/>
          <w:color w:val="auto"/>
        </w:rPr>
        <w:t>of up to $43,500 to fund working capital requirements (collectively, the “Navios Revolving Loans II”). In March 2017, the availability under the Navios Revolving Loans II was increased by $ 14,000 (see Note 14 - Investment in Affiliates).</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April 21, 2020, Navios Europe II agreed with the lender to fully release the liabilities under the junior participating loan facility for $5,000. Navios Europe II owned seven container vessels and seven drybulk vessels. Navios Partners had a net receivable of approximately $17,276 from Navios Europe II.</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decline in the fair value of the investment was considered as other-than-temporary and, therefore, an aggregate loss of $ 6,900 was recognized and included in the accompanying condensed Consolidated Statements of Income for the six month period ended June 30, 2020, as “Impairment of receivable in affiliated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2020, an agreement was reached to liquidate Navios Europe II before its original expiring date. The transaction was completed on June 29,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Europe II liquidation Navios Partners acquired 100% of the stock of the five vessels owning Companies owning the dry bulk vessels of Navios Europe II with a fair value of $56,050 and working capital balances of $(2,718). The purchase was funded through a new financing agreement (Note 6—Borrowings) and cash on hand for total of $36,056 and the satisfaction of its receivable balances in the amount of approximately $17,276 representing the Revolving Loan, Term Loan and accrued interest thereof directly owned to Navios Partners, previously presented under the captions “Amounts due/to from related parties” and “Loans receivable from affiliates”.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Following the Liquidation of Navios Europe II, the balance due from Navios Europe II as of June 30, 2020 was $0. As of December 31, 2019, Navios Partners’ portion of the outstanding amount relating to the portion of the investment in Navios Europe II (5.0% of the $14,000) was $700, under the caption “Investment in affiliates” and the outstanding amount relating to the Navios Revolving Loans II capital was $15,397 , under the caption “Loans receivable from affiliates”. The accrued interest income earned under the Navios Revolving Loans II was $7,284$ under the caption “Balance due from related parties” and the accrued interest income earned under the Navios Term Loans II was $796 under the caption “Loans receivable from affiliates”.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Note receivable from affiliates: </w:t>
      </w:r>
      <w:r>
        <w:rPr>
          <w:rFonts w:ascii="Arial" w:cs="Arial" w:eastAsia="Arial" w:hAnsi="Arial"/>
          <w:sz w:val="17"/>
          <w:szCs w:val="17"/>
          <w:color w:val="auto"/>
        </w:rPr>
        <w:t>On March 17, 2017, Navios Holdings transferred to Navios Partners its rights to the fixed 12.7% interest on the Navios</w:t>
      </w:r>
      <w:r>
        <w:rPr>
          <w:rFonts w:ascii="Arial" w:cs="Arial" w:eastAsia="Arial" w:hAnsi="Arial"/>
          <w:sz w:val="17"/>
          <w:szCs w:val="17"/>
          <w:b w:val="1"/>
          <w:bCs w:val="1"/>
          <w:color w:val="auto"/>
        </w:rPr>
        <w:t xml:space="preserve"> </w:t>
      </w:r>
      <w:r>
        <w:rPr>
          <w:rFonts w:ascii="Arial" w:cs="Arial" w:eastAsia="Arial" w:hAnsi="Arial"/>
          <w:sz w:val="17"/>
          <w:szCs w:val="17"/>
          <w:color w:val="auto"/>
        </w:rPr>
        <w:t>Europe I Navios Term Loans I and Navios Revolving Loans I (including the respective accrued receivable interest) in the amount of $33,473, which included a cash consideration of $4,050 and 871,795 newly issued common units of Navios Partners, on a split adjusted basis. At the date of this transaction, the Company recognized a receivable at the fair value of its newly issued common units totaling $29,423 based on the closing price of $33.75 per unit as of March 16, 2017 given as consideration. The receivable relating to the consideration settled with the issuance of 871,795 Navios Partners’ common units in the amount of $29,423 has been classified contra equity. The receivable from Navios Holdings was payable on maturity in December 2023. Interest would accrue through maturity and would be recognized within “Interest income” for the receivable relating to the cash consideration of $4,050. On October 23, 2019, Navios Partners’ Conflicts Committee agreed to cancel an amortizing penalty from Navios Holdings of approximately $3,182 as of December 2019, due to early liquidation of the structure. Following the liquidation of Navios Europe I, the long-term note receivable from Navios Holdings amounted to $0.</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Navios Partners has entered into an omnibus agreement with Navios Holdings (the “Partners Omnibus Agreement”) in connection with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of 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containerships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7"/>
          <w:szCs w:val="17"/>
          <w:color w:val="auto"/>
        </w:rPr>
        <w:t>In connection with the Navios Maritime Midstream Partners L.P. (“Navios Midstream”) initial public offering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Navios Containers private placement and listing on the Norwegian over-the-counter market effective June 8, 2017, Navios Partners entered into an omnibus agreement with Navios Containers, Navios Holdings, Navios Acquisition and Navios Midstream (the “Navios Containers Omnibus Agreement”), pursuant to which Navios Partners, Navios Holdings, Navios Acquisition and Navios Midstream have granted to Navios Containers a right of first refusal over any containerships to be sold or acquired in the future. The omnibus agreement contains significant exceptions that will allow Navios Partners, Navios Holdings, Navios Acquisition and Navios Midstream to compete with Navios Containers under specified circumstances.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Navios Holdings Guarantee: </w:t>
      </w:r>
      <w:r>
        <w:rPr>
          <w:rFonts w:ascii="Arial" w:cs="Arial" w:eastAsia="Arial" w:hAnsi="Arial"/>
          <w:sz w:val="16"/>
          <w:szCs w:val="16"/>
          <w:color w:val="auto"/>
        </w:rPr>
        <w:t>On November 15, 2012 (as amended and supplemented in March 2014, December 2017 and July 2019), Navios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and Navios Partners entered into an agreement (the “Navios Holdings Guarantee”) by which Navios Holdings would provide supplemental credit default insurance with a maximum cash payment of $20,000. As of June 30, 2020, the outstanding claim receivable amounted to $10,000. The final settlement of the amount from Navios Holdings will take place at specific dates, in accordance with a signed letter of agreement between the parties. The guarantee claim receivable is presented under the captions “Amounts due from related parties-short term” in the condensed Consolidated Balance Sheets.</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General partner: </w:t>
      </w:r>
      <w:r>
        <w:rPr>
          <w:rFonts w:ascii="Arial" w:cs="Arial" w:eastAsia="Arial" w:hAnsi="Arial"/>
          <w:sz w:val="18"/>
          <w:szCs w:val="18"/>
          <w:color w:val="auto"/>
        </w:rPr>
        <w:t>In August 2019, Navios Holdings announced that it sold certain assets, including its ship management division and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interest in Navios Partners to N Shipmanagement Acquisition Corp. and related entities, affiliated with Navios Holdings’ Chairman and Chief Executive Officer, Angeliki Frangou.</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Acquisition of vessels: </w:t>
      </w:r>
      <w:r>
        <w:rPr>
          <w:rFonts w:ascii="Arial" w:cs="Arial" w:eastAsia="Arial" w:hAnsi="Arial"/>
          <w:sz w:val="18"/>
          <w:szCs w:val="18"/>
          <w:color w:val="auto"/>
        </w:rPr>
        <w:t>On November 25, 2019, Navios Partners entered into a share purchase agreement for the acquisition of three Panamax and one</w:t>
      </w:r>
      <w:r>
        <w:rPr>
          <w:rFonts w:ascii="Arial" w:cs="Arial" w:eastAsia="Arial" w:hAnsi="Arial"/>
          <w:sz w:val="18"/>
          <w:szCs w:val="18"/>
          <w:b w:val="1"/>
          <w:bCs w:val="1"/>
          <w:color w:val="auto"/>
        </w:rPr>
        <w:t xml:space="preserve"> </w:t>
      </w:r>
      <w:r>
        <w:rPr>
          <w:rFonts w:ascii="Arial" w:cs="Arial" w:eastAsia="Arial" w:hAnsi="Arial"/>
          <w:sz w:val="18"/>
          <w:szCs w:val="18"/>
          <w:color w:val="auto"/>
        </w:rPr>
        <w:t>Ultra-Handymax drybulk vessels from an entity affiliated with its Chairman and CEO for $37,000 (plus working capital adjustment) in a transaction approved by the Conflicts Committee of the Board of Directors of Navios Partners. The vessels were acquired on December 13, 2019 (see Note 4 - Vessels, net).</w:t>
      </w:r>
    </w:p>
    <w:p>
      <w:pPr>
        <w:spacing w:after="0" w:line="1" w:lineRule="exact"/>
        <w:rPr>
          <w:sz w:val="20"/>
          <w:szCs w:val="20"/>
          <w:color w:val="auto"/>
        </w:rPr>
      </w:pPr>
    </w:p>
    <w:p>
      <w:pPr>
        <w:ind w:right="500"/>
        <w:spacing w:after="0" w:line="233" w:lineRule="auto"/>
        <w:rPr>
          <w:sz w:val="20"/>
          <w:szCs w:val="20"/>
          <w:color w:val="auto"/>
        </w:rPr>
      </w:pPr>
      <w:r>
        <w:rPr>
          <w:rFonts w:ascii="Arial" w:cs="Arial" w:eastAsia="Arial" w:hAnsi="Arial"/>
          <w:sz w:val="18"/>
          <w:szCs w:val="18"/>
          <w:color w:val="auto"/>
        </w:rPr>
        <w:t>As of June 30, 2020, Navios Holdings held an 18.8% common unit interest in Navios Partners, represented by 2,070,216 common units. The General Partner held a general partner interest of 2.1% represented by 230,524 general partner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NOTES RECEIVABLE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July 15, 2016, the Company entered into a charter restructuring agreement for the reduction of the hire rate for five Containerships chartered out to Hyundai Merchant Marine Co. (“HMM”) which resulted in a decrease in cash charter hire to be received of approximately $38,461. More specifically, the reduction of the hire rate will be applied as follows:</w:t>
      </w:r>
    </w:p>
    <w:p>
      <w:pPr>
        <w:spacing w:after="0" w:line="8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effect from (and including) July 18, 2016, until (and including) December 31, 2019, hire rate shall be reduced to $24,400 per day pro rata.</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effect from (and including) January 1, 2020, hire rate shall be restored to the rate of $30,500 per day pro rata until redelivery.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exchange for the reduction of the hire rate, the Company received (i) $7,692 on principal amount of senior, unsecured notes, amortizing subject to available cash flows, accruing interest at 3% per annum payable on maturity in July 2024 and (ii) 3,657 freely tradable securities of HMM (publicly traded at the Stock Market Division of the Korean Exchange).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18, 2016, the Company recognized the fair value of the HMM securities totaling $40,277 and also recognized the fair value of the senior unsecured notes totaling $6,074. The total fair value of the non-cash compensation received was recognized as deferred revenue, which will be amortized over the remaining duration of each time charter. The Company recognized non-cash interest income and discount unwinding totaling to $226 and $246, respectively, for these instruments under the caption “Interest income” in the condensed Consolidated Statements of Operations for each of the six month periods ended June 30, 2020 and 2019, respectively. As of June 30, 2020 and December 31, 2019, the outstanding balance of the notes receivable, including accrued interest and discount unwinding, amounted to $7,781 and $7,554, respectively, presented under the caption “Notes receivable, net of current portion” in the condensed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 periods ended June 30, 2020 and 2019, the Company recorded an amount of $562 and $6,058, respectively, of deferred revenue amortization in the condensed Consolidated Statements of Operations under the caption “Time charter and voyage revenues”.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outstanding balances of the current and non-current portion of deferred revenue in relation to HMM amounted to $1,127 and $2,753, respectively. As of December 31, 2019, the outstanding balances of the current and non-current portion of deferred revenue in relation to HMM amounted to $1,130 and $3,312, respectively.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12, 2017, the Company sold the vessel the MSC Cristina for a gross sale price of $126,000 and received a cash payment of $107,250 and a note receivable of $18,750 accruing interest at 6% per annum payable in 16 quarterly instalments. As of June 30, 2020, the outstanding balance of the current and non-current note receivable amounted to $2,344 and $0, respectively. For each of the six month periods ended June 30, 2020 and 2019, the Company recorded interest income of $105 and $245, respectively, including accrued interest income of $19 and $57, respectively, under the caption “Interest income” in the condensed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INVESTMENT IN AFFILIATES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Navios Europe I</w:t>
      </w:r>
      <w:r>
        <w:rPr>
          <w:rFonts w:ascii="Arial" w:cs="Arial" w:eastAsia="Arial" w:hAnsi="Arial"/>
          <w:sz w:val="18"/>
          <w:szCs w:val="18"/>
          <w:color w:val="auto"/>
        </w:rPr>
        <w:t>: On October 9, 2013, Navios Holdings, Navios Acquisition and Navios Partners established Navios Europe I and had ownership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of 47.5%, 47.5% and 5.0%, respectively. On December 18, 2013, Navios Europe I acquired ten vessels for aggregate consideration consisting of: (i) cash which was funded with the proceeds of senior loan facilities (the “Senior Loans I”) and loans aggregating $10,000 from Navios Holdings, Navios Acquisition and Navios Partners (collectively, the “Navios Term Loans I”) and (ii) the assumption of a junior participating loan facility (the “Junior Loan I”). In addition to the Navios Term Loans I, Navios Holdings, Navios Acquisition and Navios Partners have made available to Navios Europe I revolving loans of up to $24,100 to fund working capital requirements (collectively, the “Navios Revolving Loans I”). In December 2018, the availability under the Revolving Loans I was increased by $30,000.</w:t>
      </w:r>
    </w:p>
    <w:p>
      <w:pPr>
        <w:sectPr>
          <w:pgSz w:w="11900" w:h="16838" w:orient="portrait"/>
          <w:cols w:equalWidth="0" w:num="1">
            <w:col w:w="11240"/>
          </w:cols>
          <w:pgMar w:left="320" w:top="625" w:right="339" w:bottom="789"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Following the liquidation of Navios Europe I, Navios Partners acquired five vessel owning companies for a fair value of $56,083 in total.</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Navios Europe II</w:t>
      </w:r>
      <w:r>
        <w:rPr>
          <w:rFonts w:ascii="Arial" w:cs="Arial" w:eastAsia="Arial" w:hAnsi="Arial"/>
          <w:sz w:val="16"/>
          <w:szCs w:val="16"/>
          <w:color w:val="auto"/>
        </w:rPr>
        <w:t>: On February 18, 2015, Navios Holdings, Navios Acquisition and Navios Partners established Navios Europe II and have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47.5%, 47.5% and 5.0%, respectively. From June 8, 2015 through December 31, 2015, Navios Europe II acquired fourteen vessels for aggregate consideration consisting of: (i) cash consideration of $145,550 (which was funded with the proceeds of a $131,550 senior loan facilities net of loan discount amounting to $3,375 (the “Senior Loans II”) and loans aggregating $14,000 from Navios Holdings, Navios Acquisition and Navios Partners (collectively, the “Navios Term Loans II”); and (ii) the assumption of a junior participating loan facility (the “Junior Loan II”) with a face amount of $182,150 and fair value of $99,147, at the acquisition date. In addition to the Navios Term Loans II, Navios Holdings, Navios Acquisition and Navios Partners have also made available to Navios Europe II revolving loans up to $43,500 to fund working capital requirements (collectively, the “Navios Revolving Loans II”). In March 2017, the amount of funds available under the Navios Revolving Loans II was increased by $14,000.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Following the Liquidation of Navios Europe II, Navios Partners acquired five vessel owning companies for a fair value of $56,050 in total.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2020 and subsequent to the Liquidation of Navios Europe II, the Company had no exposure. As of December 31, 2019, the estimated maximum potential loss by Navios Partners in Navios Europe II would have been $16,097, excluding accrued interest, which represented the Company’s carrying value of the investment of $700 as of December 31, 2019 plus the Company’s balance of the Navios Revolving Loans II of $15,397 as of December 31, 2019, excluding accrued interest, and does not include the undrawn portion of the Navios Revolving Loans II.</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Navios Containers: </w:t>
      </w:r>
      <w:r>
        <w:rPr>
          <w:rFonts w:ascii="Arial" w:cs="Arial" w:eastAsia="Arial" w:hAnsi="Arial"/>
          <w:sz w:val="17"/>
          <w:szCs w:val="17"/>
          <w:color w:val="auto"/>
        </w:rPr>
        <w:t>On June 8, 2017, Navios Containers closed its private placement and issued 10,057,645 shares for $50,288 of gross proceeds at a</w:t>
      </w:r>
      <w:r>
        <w:rPr>
          <w:rFonts w:ascii="Arial" w:cs="Arial" w:eastAsia="Arial" w:hAnsi="Arial"/>
          <w:sz w:val="17"/>
          <w:szCs w:val="17"/>
          <w:b w:val="1"/>
          <w:bCs w:val="1"/>
          <w:color w:val="auto"/>
        </w:rPr>
        <w:t xml:space="preserve"> </w:t>
      </w:r>
      <w:r>
        <w:rPr>
          <w:rFonts w:ascii="Arial" w:cs="Arial" w:eastAsia="Arial" w:hAnsi="Arial"/>
          <w:sz w:val="17"/>
          <w:szCs w:val="17"/>
          <w:color w:val="auto"/>
        </w:rPr>
        <w:t>subscription price of $5.00 per share. Navios Partners invested $30,000 and received 6,000,000 shares, and Navios Holdings invested $5,000 and received 1,000,000 shares. Each of Navios Partners and Navios Holdings also received warrants, with a five-year term, for 6.8% and 1.7% of the equity, respectively. On August 29, 2017, Navios Containers closed its private placement and issued 10,000,000 shares for $50,000 of gross proceeds at a subscription price of $5.00 per share. Navios Partners invested $10,000 and received 2,000,000 shares. Navios Partners also received warrants, with a five-year term, for 6.8% of the equity. On November 9, 2017, Navios Containers closed a private placement of 9,090,909 shares at a subscription price of $5.50 per share, resulting in gross proceeds of approximately $50,000. Navios Partners invested $10,000 and received 1,818,182 shares. Navios Partners also received warrants, with a five-year term, for 6.8% of the newly issued equity. On March 13, 2018, Navios Containers closed a private placement of 5,454,546 shares at a subscription price of $5.50 per share, resulting in gross proceeds of approximately $30,000. Navios Partners invested $14,460 and received 2,629,095 shares and Navios Holdings invested $500 and received 90,909 shares. Each of Navios Partners and Navios Holdings also received 9,273 warrants, with a five-year term.</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3, 2018, Navios Partners distributed 855,001 units of Navios Containers to the unitholders of Navios Partners, approximately 2.5% of the Navios Containers’ outstanding equity. In connection with this transaction, Navios Partners recognized an OTTI impairment of $560 on the units distributed. The amount of the distribution was $4,243 based on the last trading price of Navios Containers’ shares in the N-OTC market as of November 23, 2018. Following the distribution, Navios Partners owns approximately 33.5% of the equity in Navios Containers.</w:t>
      </w:r>
    </w:p>
    <w:p>
      <w:pPr>
        <w:sectPr>
          <w:pgSz w:w="11900" w:h="16838" w:orient="portrait"/>
          <w:cols w:equalWidth="0" w:num="1">
            <w:col w:w="11240"/>
          </w:cols>
          <w:pgMar w:left="320" w:top="692"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As of each of June 30, 2020 and December 31, 2019, Navios Partners held 11,592,276 common units, representing a 33.5% ownership interest in Navios Containers. Investment income of $968 and $185 was recognized in the Statements of Operations under the caption of “Equity in net earnings of affiliated companies” for each of the six month periods ended June 30, 2020 and 2019, respectively.</w:t>
      </w:r>
    </w:p>
    <w:p>
      <w:pPr>
        <w:spacing w:after="0" w:line="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Based on the Company’s evaluation of the duration and magnitude of the fair value decline for approximately twelve months as of December 31, 2019, the Company concluded that the decline in the fair value of its investment below its carrying value was not temporary. Thus, an OTTI loss of $42,603 was recognized as of December 31, 2019, being the difference between the fair value of $24,923 and the carrying value of the investment of $67,526.</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Navios Partners’ equity investment in Navios Containers is based on unadjusted quoted prices in active markets for Navios Containers’ common units. The fair value of Navios Partners’ equity investment in Navios Containers as at June 30, 2020 and December 31, 2019 was $9,390 and $24,923, respectively, compared with its carrying value of $25,993 and $24,923, respectively. Based on Navios Partners’ evaluation of the duration and magnitude of the fair value decline, Navios Containers’ financial condition and near-term prospects, and Navios Partners’ intent and ability to hold its investment in Navios Containers until recovery, Navios Partners concluded that the decline in fair value of its investment in Navios Containers below its carrying value is temporary and, therefore, no impairment was recorded.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CASH DISTRIBUTIONS AND EARNINGS PER UNIT</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is no guarantee that Navios Partners will pay a quarterly distribution on the common and general partner units in any quarter. On February 3, 2016, Navios Partners announced that its Board of Directors decided to suspend the quarterly cash distributions to its unitholders, including the distribution for the quarter ended December 31, 2015. In March 2018, the board determined to reinstate a distribution and any continued distribution will be at the discretion of our Board of Directors, taking into consideration the terms of its partnership agreement. The Company is prohibited from making any distributions to unitholders if it would cause an event of default, or an event of default exists, under its existing credit facilities.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is incentive distribution rights held by the General Partner, which are analyzed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Marginal Percentage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8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6"/>
              </w:rPr>
              <w:t>Total Quarterly Distribution</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Common</w:t>
            </w:r>
          </w:p>
        </w:tc>
        <w:tc>
          <w:tcPr>
            <w:tcW w:w="500" w:type="dxa"/>
            <w:vAlign w:val="bottom"/>
          </w:tcPr>
          <w:p>
            <w:pPr>
              <w:spacing w:after="0"/>
              <w:rPr>
                <w:sz w:val="10"/>
                <w:szCs w:val="10"/>
                <w:color w:val="auto"/>
              </w:rPr>
            </w:pPr>
          </w:p>
        </w:tc>
        <w:tc>
          <w:tcPr>
            <w:tcW w:w="162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Incentive</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General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Target Amount</w:t>
            </w:r>
          </w:p>
        </w:tc>
        <w:tc>
          <w:tcPr>
            <w:tcW w:w="66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Unitholders</w:t>
            </w:r>
          </w:p>
        </w:tc>
        <w:tc>
          <w:tcPr>
            <w:tcW w:w="500" w:type="dxa"/>
            <w:vAlign w:val="bottom"/>
          </w:tcPr>
          <w:p>
            <w:pPr>
              <w:spacing w:after="0"/>
              <w:rPr>
                <w:sz w:val="14"/>
                <w:szCs w:val="14"/>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Right Holder</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vMerge w:val="continue"/>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up to $5.25</w:t>
            </w:r>
          </w:p>
        </w:tc>
        <w:tc>
          <w:tcPr>
            <w:tcW w:w="6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82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up to $6.0375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21"/>
                <w:szCs w:val="21"/>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82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9"/>
              </w:rPr>
              <w:t>above $ 6.0375 up to $6.5625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82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above $6.5625 up to $7.875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120" w:type="dxa"/>
            <w:vAlign w:val="bottom"/>
            <w:gridSpan w:val="3"/>
          </w:tcPr>
          <w:p>
            <w:pPr>
              <w:jc w:val="right"/>
              <w:ind w:right="64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82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7"/>
              </w:rPr>
              <w:t>above $7.875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98% of the quarterly distribution is paid to all common unitholders. The incentive distributions rights (held by the General Partner) apply only after a minimum quarterly distribution of $6.0375.</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2019, the Board of Directors of Navios Partners authorized its quarterly cash distribution for the three month period ended December 31, 2018 of $0.30 per unit. The distribution was paid on February 14, 2019, to all unitholders of common and general partner units of record as of February 11, 2019, which included the unitholders of restricted common units issued on February 1, 2019. The aggregate amount of the declared distribution was $3,458.</w:t>
      </w:r>
    </w:p>
    <w:p>
      <w:pPr>
        <w:sectPr>
          <w:pgSz w:w="11900" w:h="16838" w:orient="portrait"/>
          <w:cols w:equalWidth="0" w:num="1">
            <w:col w:w="11240"/>
          </w:cols>
          <w:pgMar w:left="320" w:top="584"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In April 2019, the Board of Directors of Navios Partners authorized its quarterly cash distribution for the three month period ended March 31, 2019 of $0.30 per unit. The distribution was paid on May 14, 2019, to all unitholders of common and general partner units of record as of May 10, 2019. The aggregate amount of the declared distribution was $3,364.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2019, the Board of Directors of Navios Partners authorized its quarterly cash distribution for the three month period ended June 30, 2019 of $0.30 per unit. The distribution was paid on August 9, 2019, to all unitholders of common and general partner units of record as of August 6, 2019. The aggregate amount of the declared distribution was $3,364.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the Board of Directors of Navios Partners authorized its quarterly cash distribution for the three month period ended September 30, 2019 of $0.30 per unit. The distribution was paid on November 14, 2019, to all unitholders of common and general partner units of record as of November 7, 2019. The aggregate amount of the declared distribution was $3,364.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the Board of Directors of Navios Partners authorized its quarterly cash distribution for the three month period ended December 31, 2019 of $0.30 per unit. The distribution was paid on February 13, 2020 to all unitholders of common units and general partner units of record as of February 11, 2020. The aggregate amount of the declared distribution was $3,366.</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Board of Directors of Navios Partners authorized its quarterly cash distribution for the three month period ended March 31, 2020 of $0.30 per unit. The distribution was paid on May 14, 2020, to all unitholders of common units and general partner units of record as of May 11, 2020. The aggregate amount of the declared distribution was $3,365.</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Board of Directors of Navios Partners authorized its quarterly cash distribution for the three month period ended June 30, 2020 of $0.05 per unit. The distribution is payable on August 13, 2020, to all unitholders of common units and general partner units of record as of August 10, 2020. The aggregate amount of the declared distribution expected to be paid is $561.</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Navios Partners calculates earnings per unit by allocating reported net income for each period to each class of units based on the distribution waterfall for available cash specified in Navios Partners’ partnership agreement, net of the unallocated earnings (or losses). Basic earnings/(losses) per unit is determined by dividing net income/(loss) attributable to Navios Partners common unitholders by the weighted average number of common units outstanding during the period. Diluted earnings per unit is calculated in the same manner as basic earnings per unit, except that the weighted average number of outstanding units increased to include the dilutive effect of outstanding unit options or phantom units. Net loss per unit undistributed is determined by taking the distributions in excess of net income and allocating between common units and general partner units on a 98%-2% basis. There were no options or phantom units outstanding during each of the six month periods ended June 30, 2020 and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the basic and diluted earnings per unit are presented below.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 Period Ended</w:t>
            </w:r>
          </w:p>
        </w:tc>
        <w:tc>
          <w:tcPr>
            <w:tcW w:w="18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 Period Ended</w:t>
            </w:r>
          </w:p>
        </w:tc>
      </w:tr>
      <w:tr>
        <w:trPr>
          <w:trHeight w:val="119"/>
        </w:trPr>
        <w:tc>
          <w:tcPr>
            <w:tcW w:w="4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Loss attributable to:</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00" w:type="dxa"/>
            <w:vAlign w:val="bottom"/>
            <w:shd w:val="clear" w:color="auto" w:fill="CCEEFF"/>
          </w:tcPr>
          <w:p>
            <w:pPr>
              <w:spacing w:after="0"/>
              <w:rPr>
                <w:sz w:val="21"/>
                <w:szCs w:val="2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units outstanding (basic and diluted)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10,847,487</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10,774,452</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10,846,405</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10,898,658</w:t>
            </w:r>
          </w:p>
        </w:tc>
        <w:tc>
          <w:tcPr>
            <w:tcW w:w="100" w:type="dxa"/>
            <w:vAlign w:val="bottom"/>
            <w:shd w:val="clear" w:color="auto" w:fill="CCEEFF"/>
          </w:tcPr>
          <w:p>
            <w:pPr>
              <w:spacing w:after="0"/>
              <w:rPr>
                <w:sz w:val="21"/>
                <w:szCs w:val="2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Loss per unit (basic and diluted):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10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Earnings per unit — distributed (basic and diluted):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10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1"/>
                <w:szCs w:val="2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Loss per unit — undistributed (basic and diluted):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10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Potential common units of 140,191 and 235,669 relating to unvested restricted common units for each of the six month periods ended June 30, 2020 and 2019, respectively, have an anti-dilutive effect (i.e. those that increase income per unit or decrease loss per unit) and are therefore excluded from the calculation of diluted earnings per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15, 2012 (as amended and supplemented in March 2014, December 2017 and July 2019), Navios Holdings and Navios Partners entered into an agreement (the “Navios Holdings Guarantee”) by which Navios Holdings would provide supplemental credit default insurance with a maximum cash payment of $20,000. As of June 30, 2020, the outstanding claim receivable amounted to $10,000. The final settlement of the amount from Navios Holdings will take place at specific dates, in accordance with a signed letter of agreement between the parties. The guarantee claim receivable is presented under the captions “Amounts due from related parties-short term” in the condensed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700"/>
        <w:spacing w:after="0" w:line="267" w:lineRule="auto"/>
        <w:rPr>
          <w:sz w:val="20"/>
          <w:szCs w:val="20"/>
          <w:color w:val="auto"/>
        </w:rPr>
      </w:pPr>
      <w:r>
        <w:rPr>
          <w:rFonts w:ascii="Arial" w:cs="Arial" w:eastAsia="Arial" w:hAnsi="Arial"/>
          <w:sz w:val="18"/>
          <w:szCs w:val="18"/>
          <w:color w:val="auto"/>
        </w:rPr>
        <w:t>As of June 30, 2019, the amount of $3,638 related to the change in estimate of the guarantee claim receivable is included under the caption “Other expense” of the interim condensed Statements of Operations</w:t>
      </w:r>
      <w:r>
        <w:rPr>
          <w:rFonts w:ascii="Arial" w:cs="Arial" w:eastAsia="Arial" w:hAnsi="Arial"/>
          <w:sz w:val="19"/>
          <w:szCs w:val="19"/>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LEASES</w:t>
      </w:r>
    </w:p>
    <w:p>
      <w:pPr>
        <w:sectPr>
          <w:pgSz w:w="11900" w:h="16838" w:orient="portrait"/>
          <w:cols w:equalWidth="0" w:num="1">
            <w:col w:w="11240"/>
          </w:cols>
          <w:pgMar w:left="320" w:top="692" w:right="339" w:bottom="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Effective January 1, 2018 the Company elected to early adopt the requirements of Accounting Standard Update (“ASU”) 2016-02, “Leases (Topic 842)”. Under the new lease standard, lessees are required to recognize a right-of-use asset and a lease liability for substantially all leases. The new lease standard continues to classify leases as either financing or operating, with classification affecting the pattern of expense recognition. The accounting applied by a lessor under the new guidance is substantially equivalent to the previous lease accounting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type of contracts that fall under ASC 842: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 out contracts and pooling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contract revenues from time chartering and pooling arrangements are governed by ASC 842. Upon adoption of ASC 842, the timing and recognition of earnings from the time charter contracts and pool arrangements to which the Company is party did not change from previous practice. For further analysis, refer to Note 2 </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Bareboat charter-in contract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24, 2019, Navios Partners took delivery of the Navios Libra, a 2019-built Kamsarmax vessel of 82,011 dwt, for a 10-year bareboat charter-in agreement. The bareboat charter-in provides for purchase options with de-escalating purchase prices starting on the end of the fourth year and an average daily rate of $6. The Company has performed an assessment considering the lease classification criteria under ASC 842 and concluded that the arrangement is an operating lease. Consequently, the Company has recognized an operating lease liability based on the net present value of the remaining charter-in payments and a right-of-use asset at an amount equal to the operating liability adjusted for the carrying amount of the straight-line liability.</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management estimates and market conditions, the lease term of this lease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can be readily determinable. The incremental borrowing rate is the</w:t>
      </w:r>
    </w:p>
    <w:p>
      <w:pPr>
        <w:sectPr>
          <w:pgSz w:w="11900" w:h="16838" w:orient="portrait"/>
          <w:cols w:equalWidth="0" w:num="1">
            <w:col w:w="11240"/>
          </w:cols>
          <w:pgMar w:left="320" w:top="125"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rate that reflects the interest a lessee would have to pay to borrow funds on a collateralized basis over a similar term and in a similar economic environment. The Company then applied the respective incremental borrowing rate based on the remaining lease term of the specific lease. As of July 24, 2019, Navios Partners’ incremental borrowing rate was approximately 7%.</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and December 31, 2019 the unamortized balance of the lease liability amounted $13,697 and $14,201, respectively, and is presented under the captions “Operating lease liabilities, current and non-current portion” in the condensed Consolidated Balance Sheet. Right of use asset amounted $13,782 and $14,241 as at June 30, 2020 and December 31, 2019, respectively, and is presented under the caption “Operating lease assets” in the condensed Consolidated Balance Sheet.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lease payments for its operating leases as charter hire expense on the condensed consolidated statements of operations on a straight-line basis over the lease term. Lease expense for each of the three and six month periods ended June 30, 2020 amounted to $541 and $1,083, respectively, in comparison to $0 for the corresponding periods ended June 30, 2019 and is included in the condensed Consolidated Statement of Operations within the caption “Time charter and voyage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total amount of lease payments on an undiscounted basis on our chartered-in contracts as of June 30, 2020: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Charter-in</w:t>
            </w:r>
          </w:p>
        </w:tc>
      </w:tr>
      <w:tr>
        <w:trPr>
          <w:trHeight w:val="148"/>
        </w:trPr>
        <w:tc>
          <w:tcPr>
            <w:tcW w:w="10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vessels in</w:t>
            </w:r>
          </w:p>
        </w:tc>
      </w:tr>
      <w:tr>
        <w:trPr>
          <w:trHeight w:val="171"/>
        </w:trPr>
        <w:tc>
          <w:tcPr>
            <w:tcW w:w="1042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operation</w:t>
            </w:r>
          </w:p>
        </w:tc>
      </w:tr>
      <w:tr>
        <w:trPr>
          <w:trHeight w:val="223"/>
        </w:trPr>
        <w:tc>
          <w:tcPr>
            <w:tcW w:w="10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Borders>
              <w:top w:val="single" w:sz="8" w:color="CCEEFF"/>
            </w:tcBorders>
            <w:shd w:val="clear" w:color="auto" w:fill="CCEEFF"/>
          </w:tcPr>
          <w:p>
            <w:pPr>
              <w:spacing w:after="0"/>
              <w:rPr>
                <w:sz w:val="19"/>
                <w:szCs w:val="19"/>
                <w:color w:val="auto"/>
              </w:rPr>
            </w:pP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June 30, 2022</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2,172</w:t>
            </w:r>
          </w:p>
        </w:tc>
      </w:tr>
      <w:tr>
        <w:trPr>
          <w:trHeight w:val="243"/>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June 30, 2023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2,087</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June 30, 2024</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2,086</w:t>
            </w:r>
          </w:p>
        </w:tc>
      </w:tr>
      <w:tr>
        <w:trPr>
          <w:trHeight w:val="243"/>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June 30, 2025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June 30, 2026 and thereafter</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8,191</w:t>
            </w:r>
          </w:p>
        </w:tc>
      </w:tr>
      <w:tr>
        <w:trPr>
          <w:trHeight w:val="243"/>
        </w:trPr>
        <w:tc>
          <w:tcPr>
            <w:tcW w:w="10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18,789</w:t>
            </w:r>
          </w:p>
        </w:tc>
      </w:tr>
      <w:tr>
        <w:trPr>
          <w:trHeight w:val="243"/>
        </w:trPr>
        <w:tc>
          <w:tcPr>
            <w:tcW w:w="10420" w:type="dxa"/>
            <w:vAlign w:val="bottom"/>
          </w:tcPr>
          <w:p>
            <w:pPr>
              <w:spacing w:after="0"/>
              <w:rPr>
                <w:sz w:val="20"/>
                <w:szCs w:val="20"/>
                <w:color w:val="auto"/>
              </w:rPr>
            </w:pPr>
            <w:r>
              <w:rPr>
                <w:rFonts w:ascii="Arial" w:cs="Arial" w:eastAsia="Arial" w:hAnsi="Arial"/>
                <w:sz w:val="18"/>
                <w:szCs w:val="18"/>
                <w:b w:val="1"/>
                <w:bCs w:val="1"/>
                <w:color w:val="auto"/>
              </w:rPr>
              <w:t>Operating lease liabilities, including current portion</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13,697</w:t>
            </w:r>
          </w:p>
        </w:tc>
      </w:tr>
      <w:tr>
        <w:trPr>
          <w:trHeight w:val="243"/>
        </w:trPr>
        <w:tc>
          <w:tcPr>
            <w:tcW w:w="10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 based on incremental borrowing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5,092</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and Lease Back Agreements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and 2018 the Company has entered into sale and leaseback agreements with unrelated third parties for five vessels of the Company’s fleet. Navios Partners has purchase obligations to acquire the vessels at the end of the lease terms, consequently under ASC 842-40 the transfers of the vessels were determined to be failed sales and were treated as financing transactions. The vessels were not derecognized and continue to be depreciated over their respective useful lives, and tested for impairment as per Company’s policy (see Note 6—Borrowings).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00" w:lineRule="exact"/>
        <w:rPr>
          <w:sz w:val="20"/>
          <w:szCs w:val="20"/>
          <w:color w:val="auto"/>
        </w:rPr>
      </w:pP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2020, the Board of Directors of Navios Partners declared a cash distribution for the second quarter of 2020 of $0.05 per unit. The cash distribution is payable on August 13, 2020, to all unitholders of common units and general partner units of record as of August 10, 2020. The declaration and payment of any further dividends remain subject to the discretion of the Board of Directors and will depend on, among other things, Navios Partners’ cash requirements as measured by market opportunities and restrictions under its credit agreements and other debt obligations and such other factors as the Board of Directors may deem advisable.</w:t>
      </w:r>
    </w:p>
    <w:p>
      <w:pPr>
        <w:sectPr>
          <w:pgSz w:w="11900" w:h="16838" w:orient="portrait"/>
          <w:cols w:equalWidth="0" w:num="1">
            <w:col w:w="11240"/>
          </w:cols>
          <w:pgMar w:left="320" w:top="47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Angeliki Frangou</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sectPr>
      <w:pgSz w:w="11900" w:h="16838" w:orient="portrait"/>
      <w:cols w:equalWidth="0" w:num="1">
        <w:col w:w="10340"/>
      </w:cols>
      <w:pgMar w:left="320" w:top="58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Roman"/>
      <w:start w:val="3"/>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lowerRoman"/>
      <w:start w:val="6"/>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4"/>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5"/>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2020-08-03T07:28:05Z</dcterms:created>
  <dcterms:modified xsi:type="dcterms:W3CDTF">2020-08-03T07:28:05Z</dcterms:modified>
</cp:coreProperties>
</file>