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52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52845"/>
                    </a:xfrm>
                    <a:prstGeom prst="rect">
                      <a:avLst/>
                    </a:prstGeom>
                    <a:noFill/>
                  </pic:spPr>
                </pic:pic>
              </a:graphicData>
            </a:graphic>
          </wp:anchor>
        </w:drawing>
      </w:r>
    </w:p>
    <w:p>
      <w:pPr>
        <w:spacing w:after="0" w:line="1285" w:lineRule="exact"/>
        <w:rPr>
          <w:sz w:val="24"/>
          <w:szCs w:val="24"/>
          <w:color w:val="auto"/>
        </w:rPr>
      </w:pPr>
    </w:p>
    <w:p>
      <w:pPr>
        <w:sectPr>
          <w:pgSz w:w="11900" w:h="16885"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Frangou Angeliki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NAVIOS SHIPMANAGEMENT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AKTI MIAOULI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Navios Maritime Partners L.P.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NMM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85" w:orient="portrait"/>
          <w:cols w:equalWidth="0" w:num="3">
            <w:col w:w="3200" w:space="720"/>
            <w:col w:w="3320" w:space="49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PIRAEUS</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J3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18538</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85"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06/23/2026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1,159</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72.6835</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4,752,698</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06/24/2026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1,148</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71.9399</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4,753,846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06/25/2026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1,170</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70.2007</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4,755,016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366,776</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General Partnership Unit</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622,296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made pursuant to a Rule 10b5-1 trading plan between Raymar Investments S.A., an entity affiliated with Ms. Frangou, and UBS Financial Services Inc. adopted on December 9, 2025.</w:t>
      </w:r>
    </w:p>
    <w:p>
      <w:pPr>
        <w:spacing w:after="0" w:line="7"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effected in multiple transactions each day at prices ranging from (1) $71.90 to $73.13 on June 23, 2026; (2) $71.25 to $72.65 on June 24, 2026; and (3) $69.45 to $71.10 on June 25, 2026. The prices reported above reflect the weighted average purchase prices on each such day for the transactions reported herein. The Reporting Person hereby undertakes to provide upon request to the Staff of the Securities and Exchange Commission, the issuer, or any security holder of the issuer full information regarding the number of shares and the prices at which these reported transactions were effected each day.</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80,384 common units owned through Raymar Investments S.A., an entity affiliated with Ms. Frangou, pursuant to a Rule 10b5-1 trading plan with UBS Financial Services Inc as of June 23,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81,532 common units owned through Raymar Investments S.A., an entity affiliated with Ms. Frangou, pursuant to a Rule 10b5-1 trading plan with UBS Financial Services Inc as of June 24,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82,702 common units owned through Raymar Investments S.A., an entity affiliated with Ms. Frangou, pursuant to a Rule 10b5-1 trading plan with UBS Financial Services Inc as of June 25, 2026.</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Olympos Maritime Ltd., an entity affiliated with Ms. Frangou, is the general partner (the "General Partner") of Navios Maritime Partners L.P. ("NMM"). As of June 25, 2026, the General Partner owns 622,296 general partnership units, representing an approximately 2.1% ownership interest in NMM based on all outstanding common units and general partnership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Executive Officer &amp; Chairwoman of the Board</w:t>
      </w:r>
    </w:p>
    <w:p>
      <w:pPr>
        <w:sectPr>
          <w:pgSz w:w="11900" w:h="16885" w:orient="portrait"/>
          <w:cols w:equalWidth="0" w:num="1">
            <w:col w:w="11080"/>
          </w:cols>
          <w:pgMar w:left="460" w:top="219" w:right="359" w:bottom="0" w:gutter="0" w:footer="0" w:header="0"/>
          <w:type w:val="continuous"/>
        </w:sectPr>
      </w:pP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Todd Mason, by POA from 06/25/2026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85"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06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Chairwoman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2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310495" TargetMode="External"/><Relationship Id="rId14" Type="http://schemas.openxmlformats.org/officeDocument/2006/relationships/hyperlink" Target="http://www.sec.gov/cgi-bin/browse-edgar?action=getcompany&amp;CIK=00014159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2026-06-25T20:11:39Z</dcterms:created>
  <dcterms:modified xsi:type="dcterms:W3CDTF">2026-06-25T20:11:39Z</dcterms:modified>
</cp:coreProperties>
</file>