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52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52845"/>
                    </a:xfrm>
                    <a:prstGeom prst="rect">
                      <a:avLst/>
                    </a:prstGeom>
                    <a:noFill/>
                  </pic:spPr>
                </pic:pic>
              </a:graphicData>
            </a:graphic>
          </wp:anchor>
        </w:drawing>
      </w:r>
    </w:p>
    <w:p>
      <w:pPr>
        <w:spacing w:after="0" w:line="1285" w:lineRule="exact"/>
        <w:rPr>
          <w:sz w:val="24"/>
          <w:szCs w:val="24"/>
          <w:color w:val="auto"/>
        </w:rPr>
      </w:pPr>
    </w:p>
    <w:p>
      <w:pPr>
        <w:sectPr>
          <w:pgSz w:w="11900" w:h="16885"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Frangou Angeliki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NAVIOS SHIPMANAGEMENT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AKTI MIAOULI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Navios Maritime Partners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NMM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85" w:orient="portrait"/>
          <w:cols w:equalWidth="0" w:num="3">
            <w:col w:w="3200" w:space="720"/>
            <w:col w:w="3320" w:space="49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PIRAEUS</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J3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18538</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85"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06/26/2026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1,195</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69.2232</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4,756,211</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06/29/2026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1,208</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68.8774</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4,757,419</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06/30/2026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1,199</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69.5013</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4,758,618</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366,776</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General Partnership Unit</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622,296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made pursuant to a Rule 10b5-1 trading plan between Raymar Investments S.A., an entity affiliated with Ms. Frangou, and UBS Financial Services Inc. adopted on December 9, 2025.</w:t>
      </w:r>
    </w:p>
    <w:p>
      <w:pPr>
        <w:spacing w:after="0" w:line="7"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effected in multiple transactions each day at prices ranging from (1) $68.59 to $69.88 on June 26, 2026; (2) $68.01 to $69.75 on June 29, 2026; and (3) $69.09 to $69.87 on June 30, 2026. The prices reported above reflect the weighted average purchase prices on each such day for the transactions reported herein. The Reporting Person hereby undertakes to provide upon request to the Staff of the Securities and Exchange Commission, the issuer, or any security holder of the issuer full information regarding the number of shares and the prices at which these reported transactions were effected each day.</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83,897 common units owned through Raymar Investments S.A., an entity affiliated with Ms. Frangou, pursuant to a Rule 10b5-1 trading plan with UBS Financial Services Inc as of June 26,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85,105 common units owned through Raymar Investments S.A., an entity affiliated with Ms. Frangou, pursuant to a Rule 10b5-1 trading plan with UBS Financial Services Inc as of June 29,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86,304 common units owned through Raymar Investments S.A., an entity affiliated with Ms. Frangou, pursuant to a Rule 10b5-1 trading plan with UBS Financial Services Inc as of June 30, 2026.</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Olympos Maritime Ltd., an entity affiliated with Ms. Frangou, is the general partner (the "General Partner") of Navios Maritime Partners L.P. ("NMM"). As of June 30, 2026, the General Partner owns 622,296 general partnership units, representing an approximately 2.1% ownership interest in NMM based on all outstanding common units and general partnership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Executive Officer &amp; Chairwoman of the Board</w:t>
      </w:r>
    </w:p>
    <w:p>
      <w:pPr>
        <w:sectPr>
          <w:pgSz w:w="11900" w:h="16885" w:orient="portrait"/>
          <w:cols w:equalWidth="0" w:num="1">
            <w:col w:w="11080"/>
          </w:cols>
          <w:pgMar w:left="460" w:top="219" w:right="359" w:bottom="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Todd Mason, by POA from 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85"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06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Chairwoman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2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310495" TargetMode="External"/><Relationship Id="rId14" Type="http://schemas.openxmlformats.org/officeDocument/2006/relationships/hyperlink" Target="http://www.sec.gov/cgi-bin/browse-edgar?action=getcompany&amp;CIK=0001415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2026-06-30T20:01:05Z</dcterms:created>
  <dcterms:modified xsi:type="dcterms:W3CDTF">2026-06-30T20:01:05Z</dcterms:modified>
</cp:coreProperties>
</file>