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06/17/2026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1,126</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73.351</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4,749,201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06/18/2026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1,151</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71.0996</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4,750,352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06/22/2026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1,187</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71.385</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4,751,539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$72.82 to $75.56 on June 17, 2026; (2) $70.01 to $72.41 on June 18, 2026; and (3) $70.56 to $71.76 on June 22,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76,887 common units owned through Raymar Investments S.A., an entity affiliated with Ms. Frangou, pursuant to a Rule 10b5-1 trading plan with UBS Financial Services Inc as of June 17,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78,038 common units owned through Raymar Investments S.A., an entity affiliated with Ms. Frangou, pursuant to a Rule 10b5-1 trading plan with UBS Financial Services Inc as of June 18,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79,225 common units owned through Raymar Investments S.A., an entity affiliated with Ms. Frangou, pursuant to a Rule 10b5-1 trading plan with UBS Financial Services Inc as of June 22,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June 22,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2026-06-22T20:11:30Z</dcterms:created>
  <dcterms:modified xsi:type="dcterms:W3CDTF">2026-06-22T20:11:30Z</dcterms:modified>
</cp:coreProperties>
</file>