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252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252845"/>
                    </a:xfrm>
                    <a:prstGeom prst="rect">
                      <a:avLst/>
                    </a:prstGeom>
                    <a:noFill/>
                  </pic:spPr>
                </pic:pic>
              </a:graphicData>
            </a:graphic>
          </wp:anchor>
        </w:drawing>
      </w:r>
    </w:p>
    <w:p>
      <w:pPr>
        <w:spacing w:after="0" w:line="1285" w:lineRule="exact"/>
        <w:rPr>
          <w:sz w:val="24"/>
          <w:szCs w:val="24"/>
          <w:color w:val="auto"/>
        </w:rPr>
      </w:pPr>
    </w:p>
    <w:p>
      <w:pPr>
        <w:sectPr>
          <w:pgSz w:w="11900" w:h="16885"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Frangou Angeliki</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NAVIOS SHIPMANAGEMENT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85 AKTI MIAOULI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Navios Maritime Partners L.P.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NMM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04/30/2026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See Remarks</w:t>
      </w:r>
    </w:p>
    <w:p>
      <w:pPr>
        <w:spacing w:after="0" w:line="432" w:lineRule="exact"/>
        <w:rPr>
          <w:sz w:val="24"/>
          <w:szCs w:val="24"/>
          <w:color w:val="auto"/>
        </w:rPr>
      </w:pPr>
    </w:p>
    <w:p>
      <w:pPr>
        <w:sectPr>
          <w:pgSz w:w="11900" w:h="16885" w:orient="portrait"/>
          <w:cols w:equalWidth="0" w:num="3">
            <w:col w:w="3200" w:space="720"/>
            <w:col w:w="3320" w:space="495"/>
            <w:col w:w="3345"/>
          </w:cols>
          <w:pgMar w:left="460" w:top="219" w:right="359" w:bottom="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PIRAEUS</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J3</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18538</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85"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28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20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jc w:val="center"/>
              <w:ind w:right="2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3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58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jc w:val="center"/>
              <w:ind w:right="74"/>
              <w:spacing w:after="0"/>
              <w:rPr>
                <w:sz w:val="20"/>
                <w:szCs w:val="20"/>
                <w:color w:val="auto"/>
              </w:rPr>
            </w:pPr>
            <w:r>
              <w:rPr>
                <w:rFonts w:ascii="Arial" w:cs="Arial" w:eastAsia="Arial" w:hAnsi="Arial"/>
                <w:sz w:val="12"/>
                <w:szCs w:val="12"/>
                <w:b w:val="1"/>
                <w:bCs w:val="1"/>
                <w:color w:val="auto"/>
                <w:w w:val="99"/>
              </w:rPr>
              <w:t>(A) or</w:t>
            </w:r>
          </w:p>
        </w:tc>
        <w:tc>
          <w:tcPr>
            <w:tcW w:w="6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6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Unit</w:t>
            </w:r>
          </w:p>
        </w:tc>
        <w:tc>
          <w:tcPr>
            <w:tcW w:w="1120" w:type="dxa"/>
            <w:vAlign w:val="bottom"/>
          </w:tcPr>
          <w:p>
            <w:pPr>
              <w:spacing w:after="0"/>
              <w:rPr>
                <w:sz w:val="21"/>
                <w:szCs w:val="21"/>
                <w:color w:val="auto"/>
              </w:rPr>
            </w:pPr>
          </w:p>
        </w:tc>
        <w:tc>
          <w:tcPr>
            <w:tcW w:w="11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04/30/2026</w:t>
            </w: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P</w:t>
            </w:r>
            <w:r>
              <w:rPr>
                <w:rFonts w:ascii="Times New Roman" w:cs="Times New Roman" w:eastAsia="Times New Roman" w:hAnsi="Times New Roman"/>
                <w:sz w:val="11"/>
                <w:szCs w:val="11"/>
                <w:color w:val="008000"/>
              </w:rPr>
              <w:t>(1)</w:t>
            </w:r>
          </w:p>
        </w:tc>
        <w:tc>
          <w:tcPr>
            <w:tcW w:w="820" w:type="dxa"/>
            <w:vAlign w:val="bottom"/>
            <w:vMerge w:val="restart"/>
          </w:tcPr>
          <w:p>
            <w:pPr>
              <w:jc w:val="right"/>
              <w:ind w:right="169"/>
              <w:spacing w:after="0"/>
              <w:rPr>
                <w:sz w:val="20"/>
                <w:szCs w:val="20"/>
                <w:color w:val="auto"/>
              </w:rPr>
            </w:pPr>
            <w:r>
              <w:rPr>
                <w:rFonts w:ascii="Times New Roman" w:cs="Times New Roman" w:eastAsia="Times New Roman" w:hAnsi="Times New Roman"/>
                <w:sz w:val="17"/>
                <w:szCs w:val="17"/>
                <w:color w:val="0000FF"/>
              </w:rPr>
              <w:t>1,176</w:t>
            </w:r>
          </w:p>
        </w:tc>
        <w:tc>
          <w:tcPr>
            <w:tcW w:w="460" w:type="dxa"/>
            <w:vAlign w:val="bottom"/>
            <w:vMerge w:val="restart"/>
          </w:tcPr>
          <w:p>
            <w:pPr>
              <w:jc w:val="center"/>
              <w:ind w:right="34"/>
              <w:spacing w:after="0"/>
              <w:rPr>
                <w:sz w:val="20"/>
                <w:szCs w:val="20"/>
                <w:color w:val="auto"/>
              </w:rPr>
            </w:pPr>
            <w:r>
              <w:rPr>
                <w:rFonts w:ascii="Times New Roman" w:cs="Times New Roman" w:eastAsia="Times New Roman" w:hAnsi="Times New Roman"/>
                <w:sz w:val="17"/>
                <w:szCs w:val="17"/>
                <w:color w:val="0000FF"/>
                <w:w w:val="97"/>
              </w:rPr>
              <w:t>A</w:t>
            </w:r>
          </w:p>
        </w:tc>
        <w:tc>
          <w:tcPr>
            <w:tcW w:w="88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72.0267</w:t>
            </w:r>
            <w:r>
              <w:rPr>
                <w:rFonts w:ascii="Times New Roman" w:cs="Times New Roman" w:eastAsia="Times New Roman" w:hAnsi="Times New Roman"/>
                <w:sz w:val="22"/>
                <w:szCs w:val="22"/>
                <w:color w:val="008000"/>
                <w:vertAlign w:val="superscript"/>
              </w:rPr>
              <w:t>(2)</w:t>
            </w: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4,711,340</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Unit</w:t>
            </w:r>
          </w:p>
        </w:tc>
        <w:tc>
          <w:tcPr>
            <w:tcW w:w="1120" w:type="dxa"/>
            <w:vAlign w:val="bottom"/>
          </w:tcPr>
          <w:p>
            <w:pPr>
              <w:spacing w:after="0"/>
              <w:rPr>
                <w:sz w:val="21"/>
                <w:szCs w:val="21"/>
                <w:color w:val="auto"/>
              </w:rPr>
            </w:pPr>
          </w:p>
        </w:tc>
        <w:tc>
          <w:tcPr>
            <w:tcW w:w="11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05/01/2026</w:t>
            </w: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P</w:t>
            </w:r>
            <w:r>
              <w:rPr>
                <w:rFonts w:ascii="Times New Roman" w:cs="Times New Roman" w:eastAsia="Times New Roman" w:hAnsi="Times New Roman"/>
                <w:sz w:val="11"/>
                <w:szCs w:val="11"/>
                <w:color w:val="008000"/>
              </w:rPr>
              <w:t>(1)</w:t>
            </w:r>
          </w:p>
        </w:tc>
        <w:tc>
          <w:tcPr>
            <w:tcW w:w="820" w:type="dxa"/>
            <w:vAlign w:val="bottom"/>
            <w:vMerge w:val="restart"/>
          </w:tcPr>
          <w:p>
            <w:pPr>
              <w:jc w:val="right"/>
              <w:ind w:right="169"/>
              <w:spacing w:after="0"/>
              <w:rPr>
                <w:sz w:val="20"/>
                <w:szCs w:val="20"/>
                <w:color w:val="auto"/>
              </w:rPr>
            </w:pPr>
            <w:r>
              <w:rPr>
                <w:rFonts w:ascii="Times New Roman" w:cs="Times New Roman" w:eastAsia="Times New Roman" w:hAnsi="Times New Roman"/>
                <w:sz w:val="17"/>
                <w:szCs w:val="17"/>
                <w:color w:val="0000FF"/>
              </w:rPr>
              <w:t>1,155</w:t>
            </w:r>
          </w:p>
        </w:tc>
        <w:tc>
          <w:tcPr>
            <w:tcW w:w="460" w:type="dxa"/>
            <w:vAlign w:val="bottom"/>
            <w:vMerge w:val="restart"/>
          </w:tcPr>
          <w:p>
            <w:pPr>
              <w:jc w:val="center"/>
              <w:ind w:right="34"/>
              <w:spacing w:after="0"/>
              <w:rPr>
                <w:sz w:val="20"/>
                <w:szCs w:val="20"/>
                <w:color w:val="auto"/>
              </w:rPr>
            </w:pPr>
            <w:r>
              <w:rPr>
                <w:rFonts w:ascii="Times New Roman" w:cs="Times New Roman" w:eastAsia="Times New Roman" w:hAnsi="Times New Roman"/>
                <w:sz w:val="17"/>
                <w:szCs w:val="17"/>
                <w:color w:val="0000FF"/>
                <w:w w:val="97"/>
              </w:rPr>
              <w:t>A</w:t>
            </w:r>
          </w:p>
        </w:tc>
        <w:tc>
          <w:tcPr>
            <w:tcW w:w="88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71.0833</w:t>
            </w:r>
            <w:r>
              <w:rPr>
                <w:rFonts w:ascii="Times New Roman" w:cs="Times New Roman" w:eastAsia="Times New Roman" w:hAnsi="Times New Roman"/>
                <w:sz w:val="22"/>
                <w:szCs w:val="22"/>
                <w:color w:val="008000"/>
                <w:vertAlign w:val="superscript"/>
              </w:rPr>
              <w:t>(2)</w:t>
            </w: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4,712,495</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Unit</w:t>
            </w:r>
          </w:p>
        </w:tc>
        <w:tc>
          <w:tcPr>
            <w:tcW w:w="1120" w:type="dxa"/>
            <w:vAlign w:val="bottom"/>
          </w:tcPr>
          <w:p>
            <w:pPr>
              <w:spacing w:after="0"/>
              <w:rPr>
                <w:sz w:val="21"/>
                <w:szCs w:val="21"/>
                <w:color w:val="auto"/>
              </w:rPr>
            </w:pPr>
          </w:p>
        </w:tc>
        <w:tc>
          <w:tcPr>
            <w:tcW w:w="11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05/04/2026</w:t>
            </w: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P</w:t>
            </w:r>
            <w:r>
              <w:rPr>
                <w:rFonts w:ascii="Times New Roman" w:cs="Times New Roman" w:eastAsia="Times New Roman" w:hAnsi="Times New Roman"/>
                <w:sz w:val="11"/>
                <w:szCs w:val="11"/>
                <w:color w:val="008000"/>
              </w:rPr>
              <w:t>(1)</w:t>
            </w:r>
          </w:p>
        </w:tc>
        <w:tc>
          <w:tcPr>
            <w:tcW w:w="820" w:type="dxa"/>
            <w:vAlign w:val="bottom"/>
            <w:vMerge w:val="restart"/>
          </w:tcPr>
          <w:p>
            <w:pPr>
              <w:jc w:val="right"/>
              <w:ind w:right="169"/>
              <w:spacing w:after="0"/>
              <w:rPr>
                <w:sz w:val="20"/>
                <w:szCs w:val="20"/>
                <w:color w:val="auto"/>
              </w:rPr>
            </w:pPr>
            <w:r>
              <w:rPr>
                <w:rFonts w:ascii="Times New Roman" w:cs="Times New Roman" w:eastAsia="Times New Roman" w:hAnsi="Times New Roman"/>
                <w:sz w:val="17"/>
                <w:szCs w:val="17"/>
                <w:color w:val="0000FF"/>
              </w:rPr>
              <w:t>1,169</w:t>
            </w:r>
          </w:p>
        </w:tc>
        <w:tc>
          <w:tcPr>
            <w:tcW w:w="460" w:type="dxa"/>
            <w:vAlign w:val="bottom"/>
            <w:vMerge w:val="restart"/>
          </w:tcPr>
          <w:p>
            <w:pPr>
              <w:jc w:val="center"/>
              <w:ind w:right="34"/>
              <w:spacing w:after="0"/>
              <w:rPr>
                <w:sz w:val="20"/>
                <w:szCs w:val="20"/>
                <w:color w:val="auto"/>
              </w:rPr>
            </w:pPr>
            <w:r>
              <w:rPr>
                <w:rFonts w:ascii="Times New Roman" w:cs="Times New Roman" w:eastAsia="Times New Roman" w:hAnsi="Times New Roman"/>
                <w:sz w:val="17"/>
                <w:szCs w:val="17"/>
                <w:color w:val="0000FF"/>
                <w:w w:val="97"/>
              </w:rPr>
              <w:t>A</w:t>
            </w:r>
          </w:p>
        </w:tc>
        <w:tc>
          <w:tcPr>
            <w:tcW w:w="88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71.7393</w:t>
            </w:r>
            <w:r>
              <w:rPr>
                <w:rFonts w:ascii="Times New Roman" w:cs="Times New Roman" w:eastAsia="Times New Roman" w:hAnsi="Times New Roman"/>
                <w:sz w:val="22"/>
                <w:szCs w:val="22"/>
                <w:color w:val="008000"/>
                <w:vertAlign w:val="superscript"/>
              </w:rPr>
              <w:t>(2)</w:t>
            </w: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4,713,664</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9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tcBorders>
              <w:top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Unit</w:t>
            </w:r>
          </w:p>
        </w:tc>
        <w:tc>
          <w:tcPr>
            <w:tcW w:w="1120" w:type="dxa"/>
            <w:vAlign w:val="bottom"/>
            <w:tcBorders>
              <w:top w:val="single" w:sz="8" w:color="2C2C2C"/>
            </w:tcBorders>
          </w:tcPr>
          <w:p>
            <w:pPr>
              <w:spacing w:after="0"/>
              <w:rPr>
                <w:sz w:val="23"/>
                <w:szCs w:val="23"/>
                <w:color w:val="auto"/>
              </w:rPr>
            </w:pPr>
          </w:p>
        </w:tc>
        <w:tc>
          <w:tcPr>
            <w:tcW w:w="112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76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220" w:type="dxa"/>
            <w:vAlign w:val="bottom"/>
            <w:tcBorders>
              <w:top w:val="single" w:sz="8" w:color="2C2C2C"/>
            </w:tcBorders>
          </w:tcPr>
          <w:p>
            <w:pPr>
              <w:spacing w:after="0"/>
              <w:rPr>
                <w:sz w:val="23"/>
                <w:szCs w:val="23"/>
                <w:color w:val="auto"/>
              </w:rPr>
            </w:pPr>
          </w:p>
        </w:tc>
        <w:tc>
          <w:tcPr>
            <w:tcW w:w="580" w:type="dxa"/>
            <w:vAlign w:val="bottom"/>
            <w:tcBorders>
              <w:top w:val="single" w:sz="8" w:color="2C2C2C"/>
            </w:tcBorders>
          </w:tcPr>
          <w:p>
            <w:pPr>
              <w:spacing w:after="0"/>
              <w:rPr>
                <w:sz w:val="23"/>
                <w:szCs w:val="23"/>
                <w:color w:val="auto"/>
              </w:rPr>
            </w:pPr>
          </w:p>
        </w:tc>
        <w:tc>
          <w:tcPr>
            <w:tcW w:w="820" w:type="dxa"/>
            <w:vAlign w:val="bottom"/>
            <w:tcBorders>
              <w:top w:val="single" w:sz="8" w:color="2C2C2C"/>
            </w:tcBorders>
          </w:tcPr>
          <w:p>
            <w:pPr>
              <w:spacing w:after="0"/>
              <w:rPr>
                <w:sz w:val="23"/>
                <w:szCs w:val="23"/>
                <w:color w:val="auto"/>
              </w:rPr>
            </w:pPr>
          </w:p>
        </w:tc>
        <w:tc>
          <w:tcPr>
            <w:tcW w:w="46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140" w:type="dxa"/>
            <w:vAlign w:val="bottom"/>
            <w:tcBorders>
              <w:top w:val="single" w:sz="8" w:color="2C2C2C"/>
            </w:tcBorders>
          </w:tcPr>
          <w:p>
            <w:pPr>
              <w:spacing w:after="0"/>
              <w:rPr>
                <w:sz w:val="23"/>
                <w:szCs w:val="23"/>
                <w:color w:val="auto"/>
              </w:rPr>
            </w:pPr>
          </w:p>
        </w:tc>
        <w:tc>
          <w:tcPr>
            <w:tcW w:w="1160" w:type="dxa"/>
            <w:vAlign w:val="bottom"/>
            <w:tcBorders>
              <w:top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366,766</w:t>
            </w:r>
          </w:p>
        </w:tc>
        <w:tc>
          <w:tcPr>
            <w:tcW w:w="340" w:type="dxa"/>
            <w:vAlign w:val="bottom"/>
            <w:tcBorders>
              <w:top w:val="single" w:sz="8" w:color="2C2C2C"/>
            </w:tcBorders>
          </w:tcPr>
          <w:p>
            <w:pPr>
              <w:spacing w:after="0"/>
              <w:rPr>
                <w:sz w:val="23"/>
                <w:szCs w:val="23"/>
                <w:color w:val="auto"/>
              </w:rPr>
            </w:pPr>
          </w:p>
        </w:tc>
        <w:tc>
          <w:tcPr>
            <w:tcW w:w="580" w:type="dxa"/>
            <w:vAlign w:val="bottom"/>
            <w:tcBorders>
              <w:top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General Partnership Unit</w:t>
            </w: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622,296</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6. Date Exercisable and</w:t>
            </w:r>
          </w:p>
        </w:tc>
        <w:tc>
          <w:tcPr>
            <w:tcW w:w="1200" w:type="dxa"/>
            <w:vAlign w:val="bottom"/>
            <w:gridSpan w:val="3"/>
          </w:tcPr>
          <w:p>
            <w:pPr>
              <w:ind w:left="20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200"/>
              <w:spacing w:after="0"/>
              <w:rPr>
                <w:sz w:val="20"/>
                <w:szCs w:val="20"/>
                <w:color w:val="auto"/>
              </w:rPr>
            </w:pPr>
            <w:r>
              <w:rPr>
                <w:rFonts w:ascii="Arial" w:cs="Arial" w:eastAsia="Arial" w:hAnsi="Arial"/>
                <w:sz w:val="12"/>
                <w:szCs w:val="12"/>
                <w:b w:val="1"/>
                <w:bCs w:val="1"/>
                <w:color w:val="auto"/>
                <w:w w:val="97"/>
              </w:rPr>
              <w:t>Title</w:t>
            </w: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herein were made pursuant to a Rule 10b5-1 trading plan between Raymar Investments S.A., an entity affiliated with Ms. Frangou, and UBS Financial Services Inc. adopted on December 9, 2025.</w:t>
      </w:r>
    </w:p>
    <w:p>
      <w:pPr>
        <w:spacing w:after="0" w:line="7" w:lineRule="exact"/>
        <w:rPr>
          <w:rFonts w:ascii="Times New Roman" w:cs="Times New Roman" w:eastAsia="Times New Roman" w:hAnsi="Times New Roman"/>
          <w:sz w:val="13"/>
          <w:szCs w:val="13"/>
          <w:color w:val="008000"/>
        </w:rPr>
      </w:pPr>
    </w:p>
    <w:p>
      <w:pPr>
        <w:jc w:val="both"/>
        <w:ind w:left="40" w:right="24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herein were effected in multiple transactions each day at prices ranging from (1) $71.67 to $72.45 on April 30, 2026; (2) $70.59 to $72.07 on May 1, 2026; and (3) $71.35 to $72.12 on May 4, 2026. The prices reported above reflect the weighted average purchase prices on each such day for the transactions reported herein. The Reporting Person hereby undertakes to provide upon request to the Staff of the Securities and Exchange Commission, the issuer, or any security holder of the issuer full information regarding the number of shares and the prices at which these reported transactions were effected each day.</w:t>
      </w:r>
    </w:p>
    <w:p>
      <w:pPr>
        <w:spacing w:after="0" w:line="24"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number of common units beneficially owned by Ms. Frangou includes (i) 3,183,199 common units owned indirectly through N Shipmanagement Acquisition Corp., an entity affiliated with her; (ii) 1,489,115 common units in the aggregate owned indirectly through three other entities affiliated with her and (iii) 39,026 common units owned through Raymar Investments S.A., an entity affiliated with Ms. Frangou, pursuant to a Rule 10b5-1 trading plan with UBS Financial Services Inc as of April 30, 2026.</w:t>
      </w:r>
    </w:p>
    <w:p>
      <w:pPr>
        <w:spacing w:after="0" w:line="2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number of common units beneficially owned by Ms. Frangou includes (i) 3,183,199 common units owned indirectly through N Shipmanagement Acquisition Corp., an entity affiliated with her; (ii) 1,489,115 common units in the aggregate owned indirectly through three other entities affiliated with her and (iii) 40,181 common units owned through Raymar Investments S.A., an entity affiliated with Ms. Frangou, pursuant to a Rule 10b5-1 trading plan with UBS Financial Services Inc as of May 1, 2026.</w:t>
      </w:r>
    </w:p>
    <w:p>
      <w:pPr>
        <w:spacing w:after="0" w:line="2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number of common units beneficially owned by Ms. Frangou includes (i) 3,183,199 common units owned indirectly through N Shipmanagement Acquisition Corp., an entity affiliated with her; (ii) 1,489,115 common units in the aggregate owned indirectly through three other entities affiliated with her and (iii) 41,350 common units owned through Raymar Investments S.A., an entity affiliated with Ms. Frangou, pursuant to a Rule 10b5-1 trading plan with UBS Financial Services Inc as of May 4, 2026.</w:t>
      </w:r>
    </w:p>
    <w:p>
      <w:pPr>
        <w:spacing w:after="0" w:line="20" w:lineRule="exact"/>
        <w:rPr>
          <w:rFonts w:ascii="Times New Roman" w:cs="Times New Roman" w:eastAsia="Times New Roman" w:hAnsi="Times New Roman"/>
          <w:sz w:val="13"/>
          <w:szCs w:val="13"/>
          <w:color w:val="008000"/>
        </w:rPr>
      </w:pPr>
    </w:p>
    <w:p>
      <w:pPr>
        <w:ind w:left="40" w:right="3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Olympos Maritime Ltd., an entity affiliated with Ms. Frangou, is the general partner (the "General Partner") of Navios Maritime Partners L.P. ("NMM"). As of May 4, 2026, the General Partner owns 622,296 general partnership units, representing an approximately 2.1% ownership interest in NMM based on all outstanding common units and general partnership units.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Chief Executive Officer &amp; Chairwoman of the Board</w:t>
      </w:r>
    </w:p>
    <w:p>
      <w:pPr>
        <w:sectPr>
          <w:pgSz w:w="11900" w:h="16885" w:orient="portrait"/>
          <w:cols w:equalWidth="0" w:num="1">
            <w:col w:w="11080"/>
          </w:cols>
          <w:pgMar w:left="460" w:top="219" w:right="359" w:bottom="0" w:gutter="0" w:footer="0" w:header="0"/>
          <w:type w:val="continuous"/>
        </w:sectPr>
      </w:pP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Todd Mason, by POA from 05/04/2026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ectPr>
          <w:pgSz w:w="11900" w:h="16885" w:orient="portrait"/>
          <w:cols w:equalWidth="0" w:num="1">
            <w:col w:w="11080"/>
          </w:cols>
          <w:pgMar w:left="460" w:top="219" w:right="359" w:bottom="0" w:gutter="0" w:footer="0" w:header="0"/>
          <w:type w:val="continuous"/>
        </w:sectPr>
      </w:pPr>
    </w:p>
    <w:bookmarkStart w:id="1" w:name="page2"/>
    <w:bookmarkEnd w:id="1"/>
    <w:p>
      <w:pPr>
        <w:ind w:left="6540"/>
        <w:spacing w:after="0"/>
        <w:rPr>
          <w:sz w:val="20"/>
          <w:szCs w:val="20"/>
          <w:color w:val="auto"/>
        </w:rPr>
      </w:pPr>
      <w:r>
        <w:rPr>
          <w:rFonts w:ascii="Times New Roman" w:cs="Times New Roman" w:eastAsia="Times New Roman" w:hAnsi="Times New Roman"/>
          <w:sz w:val="17"/>
          <w:szCs w:val="17"/>
          <w:color w:val="0000FF"/>
        </w:rPr>
        <w:t>Angeliki Frangou,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8064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80645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Chairwoman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28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728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Chief Executive Officer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07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2407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663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366395" cy="8255"/>
                    </a:xfrm>
                    <a:prstGeom prst="rect">
                      <a:avLst/>
                    </a:prstGeom>
                    <a:noFill/>
                  </pic:spPr>
                </pic:pic>
              </a:graphicData>
            </a:graphic>
          </wp:anchor>
        </w:drawing>
      </w:r>
    </w:p>
    <w:p>
      <w:pPr>
        <w:spacing w:after="0" w:line="40"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3" Type="http://schemas.openxmlformats.org/officeDocument/2006/relationships/hyperlink" Target="http://www.sec.gov/cgi-bin/browse-edgar?action=getcompany&amp;CIK=0001310495" TargetMode="External"/><Relationship Id="rId14" Type="http://schemas.openxmlformats.org/officeDocument/2006/relationships/hyperlink" Target="http://www.sec.gov/cgi-bin/browse-edgar?action=getcompany&amp;CIK=00014159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2026-05-04T20:12:45Z</dcterms:created>
  <dcterms:modified xsi:type="dcterms:W3CDTF">2026-05-04T20:12:45Z</dcterms:modified>
</cp:coreProperties>
</file>