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color w:val="auto"/>
        </w:rPr>
        <w:t>PURSUANT TO RULE 13A-16 OR 15D-16</w:t>
      </w:r>
    </w:p>
    <w:p>
      <w:pPr>
        <w:jc w:val="center"/>
        <w:ind w:right="-10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Date of Report: August 4, 2020</w:t>
      </w:r>
    </w:p>
    <w:p>
      <w:pPr>
        <w:spacing w:after="0" w:line="225"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2460"/>
        <w:spacing w:after="0"/>
        <w:rPr>
          <w:sz w:val="20"/>
          <w:szCs w:val="20"/>
          <w:color w:val="auto"/>
        </w:rPr>
      </w:pPr>
      <w:r>
        <w:rPr>
          <w:rFonts w:ascii="Arial" w:cs="Arial" w:eastAsia="Arial" w:hAnsi="Arial"/>
          <w:sz w:val="36"/>
          <w:szCs w:val="36"/>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259080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Monte Carlo, MC 98000 Monaco</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474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474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right="8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Report on Form 6-K is hereby incorporated by reference into Navios Maritime Partners L.P.’s Registration Statement on Form F-3, File No. 333-237934.</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18, 2016, Navios Maritime Partners L.P. (“</w:t>
      </w:r>
      <w:r>
        <w:rPr>
          <w:rFonts w:ascii="Arial" w:cs="Arial" w:eastAsia="Arial" w:hAnsi="Arial"/>
          <w:sz w:val="16"/>
          <w:szCs w:val="16"/>
          <w:i w:val="1"/>
          <w:iCs w:val="1"/>
          <w:color w:val="auto"/>
        </w:rPr>
        <w:t>Navios</w:t>
      </w:r>
      <w:r>
        <w:rPr>
          <w:rFonts w:ascii="Arial" w:cs="Arial" w:eastAsia="Arial" w:hAnsi="Arial"/>
          <w:sz w:val="16"/>
          <w:szCs w:val="16"/>
          <w:color w:val="auto"/>
        </w:rPr>
        <w:t>”) entered into a Continuous Offering Program Sales Agreement, as amended on June 2, 2017, and as further amended on August 3, 2020 (the “</w:t>
      </w:r>
      <w:r>
        <w:rPr>
          <w:rFonts w:ascii="Arial" w:cs="Arial" w:eastAsia="Arial" w:hAnsi="Arial"/>
          <w:sz w:val="16"/>
          <w:szCs w:val="16"/>
          <w:i w:val="1"/>
          <w:iCs w:val="1"/>
          <w:color w:val="auto"/>
        </w:rPr>
        <w:t>Sales Agreement</w:t>
      </w:r>
      <w:r>
        <w:rPr>
          <w:rFonts w:ascii="Arial" w:cs="Arial" w:eastAsia="Arial" w:hAnsi="Arial"/>
          <w:sz w:val="16"/>
          <w:szCs w:val="16"/>
          <w:color w:val="auto"/>
        </w:rPr>
        <w:t>”) with S. Goldman Capital LLC, as sales agent (the “</w:t>
      </w:r>
      <w:r>
        <w:rPr>
          <w:rFonts w:ascii="Arial" w:cs="Arial" w:eastAsia="Arial" w:hAnsi="Arial"/>
          <w:sz w:val="16"/>
          <w:szCs w:val="16"/>
          <w:i w:val="1"/>
          <w:iCs w:val="1"/>
          <w:color w:val="auto"/>
        </w:rPr>
        <w:t>Agent</w:t>
      </w:r>
      <w:r>
        <w:rPr>
          <w:rFonts w:ascii="Arial" w:cs="Arial" w:eastAsia="Arial" w:hAnsi="Arial"/>
          <w:sz w:val="16"/>
          <w:szCs w:val="16"/>
          <w:color w:val="auto"/>
        </w:rPr>
        <w:t>”), pursuant to which Navios may issue and sell from time to time through the Agent shares of Navios’ common stock having an aggregate offering price of up to $22,243,642. Sales of the shares of common stock are to be made pursuant to Navios’ shelf registration statement, filed on Form F-3 (File No.</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333-237934) with the U.S. Securities and Exchange Commission and declared effective on May 12, 2020. The Sales Agreement contains, among other things, customary representations, warranties and covenants by Navios and indemnification obligations of Navios and the Agent as well as certain termination rights for both Navios and the Agent.</w:t>
      </w:r>
    </w:p>
    <w:p>
      <w:pPr>
        <w:spacing w:after="0" w:line="1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Sales Agreement does not purport to be complete and is qualified in its entirety by reference to the full text of the Sales Agreement, a copy of which is filed herewith as Exhibit 1.1 and is incorporated by reference herein.</w:t>
      </w:r>
    </w:p>
    <w:p>
      <w:pPr>
        <w:sectPr>
          <w:pgSz w:w="11900" w:h="16838" w:orient="portrait"/>
          <w:cols w:equalWidth="0" w:num="1">
            <w:col w:w="11000"/>
          </w:cols>
          <w:pgMar w:left="440" w:top="274"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0940"/>
          </w:cols>
          <w:pgMar w:left="440" w:top="270" w:right="51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56"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No. 2 to Continuous Offering Program Sales Agreement, dated August 3, 2020.</w:t>
      </w:r>
    </w:p>
    <w:p>
      <w:pPr>
        <w:spacing w:after="0" w:line="117"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Reeder &amp; Simpson P.C., dated August 3, 2020.</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Reeder &amp; Simpson P.C. (included in Exhibit 5.1 above).</w:t>
      </w:r>
    </w:p>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Units representing limited partner interests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CONTINUOUS OFFERING PROGRAM SALES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35th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2 to Continuous Offering Program Sales Agreement, dated as of the date first set forth above (this “</w:t>
      </w:r>
      <w:r>
        <w:rPr>
          <w:rFonts w:ascii="Arial" w:cs="Arial" w:eastAsia="Arial" w:hAnsi="Arial"/>
          <w:sz w:val="16"/>
          <w:szCs w:val="16"/>
          <w:u w:val="single" w:color="auto"/>
          <w:color w:val="auto"/>
        </w:rPr>
        <w:t>Amendment</w:t>
      </w:r>
      <w:r>
        <w:rPr>
          <w:rFonts w:ascii="Arial" w:cs="Arial" w:eastAsia="Arial" w:hAnsi="Arial"/>
          <w:sz w:val="16"/>
          <w:szCs w:val="16"/>
          <w:color w:val="auto"/>
        </w:rPr>
        <w:t>”) amends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Continuous Offering Program Sales Agreement, dated as of November 18, 2016 (the “</w:t>
      </w:r>
      <w:r>
        <w:rPr>
          <w:rFonts w:ascii="Arial" w:cs="Arial" w:eastAsia="Arial" w:hAnsi="Arial"/>
          <w:sz w:val="16"/>
          <w:szCs w:val="16"/>
          <w:u w:val="single" w:color="auto"/>
          <w:color w:val="auto"/>
        </w:rPr>
        <w:t>Agreement</w:t>
      </w:r>
      <w:r>
        <w:rPr>
          <w:rFonts w:ascii="Arial" w:cs="Arial" w:eastAsia="Arial" w:hAnsi="Arial"/>
          <w:sz w:val="16"/>
          <w:szCs w:val="16"/>
          <w:color w:val="auto"/>
        </w:rPr>
        <w:t>”), as amended by Amendment No.1, dated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June 2, 2017, by and among S. Goldman Capital LLC (“</w:t>
      </w:r>
      <w:r>
        <w:rPr>
          <w:rFonts w:ascii="Arial" w:cs="Arial" w:eastAsia="Arial" w:hAnsi="Arial"/>
          <w:sz w:val="17"/>
          <w:szCs w:val="17"/>
          <w:u w:val="single" w:color="auto"/>
          <w:color w:val="auto"/>
        </w:rPr>
        <w:t>S. Goldman</w:t>
      </w:r>
      <w:r>
        <w:rPr>
          <w:rFonts w:ascii="Arial" w:cs="Arial" w:eastAsia="Arial" w:hAnsi="Arial"/>
          <w:sz w:val="17"/>
          <w:szCs w:val="17"/>
          <w:color w:val="auto"/>
        </w:rPr>
        <w:t>”), Navios Maritime Partners L.P., a Marshall Islands limited partnership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w:t>
      </w:r>
      <w:r>
        <w:rPr>
          <w:rFonts w:ascii="Arial" w:cs="Arial" w:eastAsia="Arial" w:hAnsi="Arial"/>
          <w:sz w:val="16"/>
          <w:szCs w:val="16"/>
          <w:color w:val="auto"/>
        </w:rPr>
        <w:t>”), Navios GP L.L.C., a Marshall Islands limited liability company (the “</w:t>
      </w:r>
      <w:r>
        <w:rPr>
          <w:rFonts w:ascii="Arial" w:cs="Arial" w:eastAsia="Arial" w:hAnsi="Arial"/>
          <w:sz w:val="16"/>
          <w:szCs w:val="16"/>
          <w:u w:val="single" w:color="auto"/>
          <w:color w:val="auto"/>
        </w:rPr>
        <w:t>Former General Partner</w:t>
      </w:r>
      <w:r>
        <w:rPr>
          <w:rFonts w:ascii="Arial" w:cs="Arial" w:eastAsia="Arial" w:hAnsi="Arial"/>
          <w:sz w:val="16"/>
          <w:szCs w:val="16"/>
          <w:color w:val="auto"/>
        </w:rPr>
        <w:t>”), and Navios Maritime Operating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Marshall Islands limited liability company (the “</w:t>
      </w:r>
      <w:r>
        <w:rPr>
          <w:rFonts w:ascii="Arial" w:cs="Arial" w:eastAsia="Arial" w:hAnsi="Arial"/>
          <w:sz w:val="17"/>
          <w:szCs w:val="17"/>
          <w:u w:val="single" w:color="auto"/>
          <w:color w:val="auto"/>
        </w:rPr>
        <w:t>Operating Company</w:t>
      </w:r>
      <w:r>
        <w:rPr>
          <w:rFonts w:ascii="Arial" w:cs="Arial" w:eastAsia="Arial" w:hAnsi="Arial"/>
          <w:sz w:val="17"/>
          <w:szCs w:val="17"/>
          <w:color w:val="auto"/>
        </w:rPr>
        <w:t>”). Capitalized terms not otherwise defined in this Amendment shall have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 meanings ascribed to them in the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A. On November 18, 2016, the Partnership and S. Goldman entered into the Agreement, which provided for the issuance and sale from time to time of up to $25,000,000 of Common Units under the Partnership’s registration statement on Form F-3 (Registration No. 333-192176)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The First Registration Statement expired on January 15, 2017.</w:t>
      </w:r>
    </w:p>
    <w:p>
      <w:pPr>
        <w:spacing w:after="0" w:line="117"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C. On June 2, 2017, the parties amended the Agreement in order to allow the continued offer and sale of up to $22,243,642 of Common Units under a separate registration statement on Form F-3 (Registration No. 333-215529) (the “</w:t>
      </w:r>
      <w:r>
        <w:rPr>
          <w:rFonts w:ascii="Arial" w:cs="Arial" w:eastAsia="Arial" w:hAnsi="Arial"/>
          <w:sz w:val="17"/>
          <w:szCs w:val="17"/>
          <w:u w:val="single" w:color="auto"/>
          <w:color w:val="auto"/>
        </w:rPr>
        <w:t>Second Registration Statement</w:t>
      </w:r>
      <w:r>
        <w:rPr>
          <w:rFonts w:ascii="Arial" w:cs="Arial" w:eastAsia="Arial" w:hAnsi="Arial"/>
          <w:sz w:val="17"/>
          <w:szCs w:val="17"/>
          <w:color w:val="auto"/>
        </w:rPr>
        <w:t>”).</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The Second Registration Statement expired on May 5, 2020.</w:t>
      </w:r>
    </w:p>
    <w:p>
      <w:pPr>
        <w:spacing w:after="0" w:line="11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E. The general partner interests in the Partnership previously held by the Former General Partner were acquired by Olympos Maritime Ltd. on August 29, 2019.</w:t>
      </w:r>
    </w:p>
    <w:p>
      <w:pPr>
        <w:spacing w:after="0" w:line="6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E. The parties now wish to amend the Agreement in order to (i) allow the continued offer and sale of up to $22,243,642 of Common Units under a separate registration statement on Form F-3 (Registration No. 333- 237934) (the “</w:t>
      </w:r>
      <w:r>
        <w:rPr>
          <w:rFonts w:ascii="Arial" w:cs="Arial" w:eastAsia="Arial" w:hAnsi="Arial"/>
          <w:sz w:val="18"/>
          <w:szCs w:val="18"/>
          <w:u w:val="single" w:color="auto"/>
          <w:color w:val="auto"/>
        </w:rPr>
        <w:t>New Registration Statement</w:t>
      </w:r>
      <w:r>
        <w:rPr>
          <w:rFonts w:ascii="Arial" w:cs="Arial" w:eastAsia="Arial" w:hAnsi="Arial"/>
          <w:sz w:val="18"/>
          <w:szCs w:val="18"/>
          <w:color w:val="auto"/>
        </w:rPr>
        <w:t>”) and (ii) provide for the assumption of the rights and obligations of the Former General Partner under the Agreement by Olympos Maritime Ltd.</w:t>
      </w:r>
    </w:p>
    <w:p>
      <w:pPr>
        <w:spacing w:after="0" w:line="39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foregoing, the parties hereby agree as follows:</w:t>
      </w:r>
    </w:p>
    <w:p>
      <w:pPr>
        <w:spacing w:after="0" w:line="117" w:lineRule="exact"/>
        <w:rPr>
          <w:sz w:val="20"/>
          <w:szCs w:val="20"/>
          <w:color w:val="auto"/>
        </w:rPr>
      </w:pPr>
    </w:p>
    <w:p>
      <w:pPr>
        <w:ind w:right="20" w:firstLine="436"/>
        <w:spacing w:after="0" w:line="272"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Filing of Second Registration Statement</w:t>
      </w:r>
      <w:r>
        <w:rPr>
          <w:rFonts w:ascii="Arial" w:cs="Arial" w:eastAsia="Arial" w:hAnsi="Arial"/>
          <w:sz w:val="17"/>
          <w:szCs w:val="17"/>
          <w:color w:val="auto"/>
        </w:rPr>
        <w:t>. The term “Registration Statement” in the Agreement shall be deemed to mean: (a) prior to June 2, 2017, the First Registration Statement, (b) from June 2, 2017 to the date of this Amendment, the Second Registration Statement and (c) from and after the date of this Amendment, the New Registration Statement. Sales under the New Registration Statement may commence at any time after the filing of a prospectus supplement pursuant to Rule 424(b) under the Securities Act, which shall contain substantially the same plan of distribution as contained in the prospectus supplement filed with respect to the Second Registration Statement (the “</w:t>
      </w:r>
      <w:r>
        <w:rPr>
          <w:rFonts w:ascii="Arial" w:cs="Arial" w:eastAsia="Arial" w:hAnsi="Arial"/>
          <w:sz w:val="17"/>
          <w:szCs w:val="17"/>
          <w:u w:val="single" w:color="auto"/>
          <w:color w:val="auto"/>
        </w:rPr>
        <w:t>New Prospectus Supplement</w:t>
      </w:r>
      <w:r>
        <w:rPr>
          <w:rFonts w:ascii="Arial" w:cs="Arial" w:eastAsia="Arial" w:hAnsi="Arial"/>
          <w:sz w:val="17"/>
          <w:szCs w:val="17"/>
          <w:color w:val="auto"/>
        </w:rPr>
        <w:t>”). References in the Agreement, as amended, to the “Prospectus” shall, with respect to sales made under the New Registration Statement, refer to the New Prospectus Supplement and the base prospectus dated May 15, 2020 and related to the New Registration Statement.</w:t>
      </w:r>
    </w:p>
    <w:p>
      <w:pPr>
        <w:sectPr>
          <w:pgSz w:w="11900" w:h="16838" w:orient="portrait"/>
          <w:cols w:equalWidth="0" w:num="1">
            <w:col w:w="11020"/>
          </w:cols>
          <w:pgMar w:left="440" w:top="121" w:right="439" w:bottom="1440" w:gutter="0" w:footer="0" w:header="0"/>
        </w:sectPr>
      </w:pPr>
    </w:p>
    <w:bookmarkStart w:id="5" w:name="page6"/>
    <w:bookmarkEnd w:id="5"/>
    <w:p>
      <w:pPr>
        <w:ind w:left="-20" w:right="100" w:firstLine="436"/>
        <w:spacing w:after="0" w:line="259"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Assumption of Rights and Obligations of the General Partner</w:t>
      </w:r>
      <w:r>
        <w:rPr>
          <w:rFonts w:ascii="Arial" w:cs="Arial" w:eastAsia="Arial" w:hAnsi="Arial"/>
          <w:sz w:val="18"/>
          <w:szCs w:val="18"/>
          <w:color w:val="auto"/>
        </w:rPr>
        <w:t>. The term “General Partner” shall mean: (a) prior to the date of this Amendment, Navios GP L.L.C., and (c) from and after the date of this Amendment, Olympos Maritime Ltd. The term “Partnership Parties” shall mean: (a) prior to the date of this Amendment, the Partnership, the Operating Company and Navios GP L.L.C., collectively, and (c) from and after the date of this Amendment, the Partnership, the Operating Company and Olympos Maritime Ltd., collectively.</w:t>
      </w:r>
    </w:p>
    <w:p>
      <w:pPr>
        <w:spacing w:after="0" w:line="79" w:lineRule="exact"/>
        <w:rPr>
          <w:sz w:val="20"/>
          <w:szCs w:val="20"/>
          <w:color w:val="auto"/>
        </w:rPr>
      </w:pPr>
    </w:p>
    <w:p>
      <w:pPr>
        <w:ind w:left="-20" w:right="160" w:firstLine="436"/>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Assumption of Rights and Obligations of the General Partner</w:t>
      </w:r>
      <w:r>
        <w:rPr>
          <w:rFonts w:ascii="Arial" w:cs="Arial" w:eastAsia="Arial" w:hAnsi="Arial"/>
          <w:sz w:val="18"/>
          <w:szCs w:val="18"/>
          <w:color w:val="auto"/>
        </w:rPr>
        <w:t>. Olympos Maritime Ltd. hereby expressly assumes all obligations and liabilities of the General Partner under the Agreement.</w:t>
      </w:r>
    </w:p>
    <w:p>
      <w:pPr>
        <w:spacing w:after="0" w:line="62" w:lineRule="exact"/>
        <w:rPr>
          <w:sz w:val="20"/>
          <w:szCs w:val="20"/>
          <w:color w:val="auto"/>
        </w:rPr>
      </w:pPr>
    </w:p>
    <w:p>
      <w:pPr>
        <w:ind w:left="-20" w:firstLine="436"/>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hereby represents and warrants that the representations and warranties of each of the Partnership Parties, as set forth in Section 1 of the Agreement, are true and correct as of the date of this Amendment.</w:t>
      </w:r>
    </w:p>
    <w:p>
      <w:pPr>
        <w:spacing w:after="0" w:line="62" w:lineRule="exact"/>
        <w:rPr>
          <w:rFonts w:ascii="Arial" w:cs="Arial" w:eastAsia="Arial" w:hAnsi="Arial"/>
          <w:sz w:val="18"/>
          <w:szCs w:val="18"/>
          <w:color w:val="auto"/>
        </w:rPr>
      </w:pPr>
    </w:p>
    <w:p>
      <w:pPr>
        <w:ind w:left="-20" w:right="400" w:firstLine="436"/>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other terms of the Agreement shall remain in full force and effect including, without limitation, all indemnification and contribution terms set forth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60"/>
          </w:cols>
          <w:pgMar w:left="460" w:top="274" w:right="479" w:bottom="1440" w:gutter="0" w:footer="0" w:header="0"/>
        </w:sectPr>
      </w:pPr>
    </w:p>
    <w:bookmarkStart w:id="6" w:name="page7"/>
    <w:bookmarkEnd w:id="6"/>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correctly sets forth the understanding among the Partnership Parties and S. Goldman, please so indicate in the space provided below for that purpose, whereupon this Amendment shall constitute a binding agreement among the Partnership Parties and S. Goldman.</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Efstratios Desypris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Efstratios Desypris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OLYMPOS MARITIME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Navios Maritime Holdings Inc., its sole member</w:t>
      </w:r>
    </w:p>
    <w:p>
      <w:pPr>
        <w:spacing w:after="0" w:line="23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Brigido Navarro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Brigido Navarro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Sole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NAVIOS MARITIME OPERATING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Navios Maritime Partners L.P., its sole member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Navios GP L.L.C., its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Vasiliki Papaefthymiou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Vasiliki Papaefthymiou</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[Signature Page to Amendment No. 2 to Continuous Offering Program Sales Agreement]</w:t>
      </w:r>
    </w:p>
    <w:p>
      <w:pPr>
        <w:sectPr>
          <w:pgSz w:w="11900" w:h="16838" w:orient="portrait"/>
          <w:cols w:equalWidth="0" w:num="1">
            <w:col w:w="10640"/>
          </w:cols>
          <w:pgMar w:left="440" w:top="274" w:right="8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first-above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CAPITAL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Sheldon M.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Sheldon M. Goldman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Senior Managing Director</w:t>
      </w:r>
    </w:p>
    <w:p>
      <w:pPr>
        <w:spacing w:after="0" w:line="211"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[Signature Page to Amendment No. 2 to Continuous Offering Program Sales Agreement]</w:t>
      </w:r>
    </w:p>
    <w:p>
      <w:pPr>
        <w:sectPr>
          <w:pgSz w:w="11900" w:h="16838" w:orient="portrait"/>
          <w:cols w:equalWidth="0" w:num="1">
            <w:col w:w="10019"/>
          </w:cols>
          <w:pgMar w:left="440" w:top="27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414"/>
        </w:trPr>
        <w:tc>
          <w:tcPr>
            <w:tcW w:w="3660" w:type="dxa"/>
            <w:vAlign w:val="bottom"/>
          </w:tcPr>
          <w:p>
            <w:pPr>
              <w:spacing w:after="0"/>
              <w:rPr>
                <w:sz w:val="24"/>
                <w:szCs w:val="24"/>
                <w:color w:val="auto"/>
              </w:rPr>
            </w:pPr>
          </w:p>
        </w:tc>
        <w:tc>
          <w:tcPr>
            <w:tcW w:w="7360" w:type="dxa"/>
            <w:vAlign w:val="bottom"/>
            <w:gridSpan w:val="2"/>
          </w:tcPr>
          <w:p>
            <w:pPr>
              <w:jc w:val="right"/>
              <w:ind w:right="4310"/>
              <w:spacing w:after="0"/>
              <w:rPr>
                <w:sz w:val="20"/>
                <w:szCs w:val="20"/>
                <w:color w:val="auto"/>
              </w:rPr>
            </w:pPr>
            <w:r>
              <w:rPr>
                <w:rFonts w:ascii="Arial" w:cs="Arial" w:eastAsia="Arial" w:hAnsi="Arial"/>
                <w:sz w:val="18"/>
                <w:szCs w:val="18"/>
                <w:b w:val="1"/>
                <w:bCs w:val="1"/>
                <w:color w:val="auto"/>
              </w:rPr>
              <w:t>REEDER &amp; SIMPSON, P.C.</w:t>
            </w:r>
          </w:p>
        </w:tc>
      </w:tr>
      <w:tr>
        <w:trPr>
          <w:trHeight w:val="234"/>
        </w:trPr>
        <w:tc>
          <w:tcPr>
            <w:tcW w:w="3660" w:type="dxa"/>
            <w:vAlign w:val="bottom"/>
          </w:tcPr>
          <w:p>
            <w:pPr>
              <w:spacing w:after="0"/>
              <w:rPr>
                <w:sz w:val="20"/>
                <w:szCs w:val="20"/>
                <w:color w:val="auto"/>
              </w:rPr>
            </w:pPr>
          </w:p>
        </w:tc>
        <w:tc>
          <w:tcPr>
            <w:tcW w:w="73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ATTORNEYS AT LAW</w:t>
            </w:r>
          </w:p>
        </w:tc>
      </w:tr>
      <w:tr>
        <w:trPr>
          <w:trHeight w:val="441"/>
        </w:trPr>
        <w:tc>
          <w:tcPr>
            <w:tcW w:w="3660" w:type="dxa"/>
            <w:vAlign w:val="bottom"/>
          </w:tcPr>
          <w:p>
            <w:pPr>
              <w:spacing w:after="0"/>
              <w:rPr>
                <w:sz w:val="20"/>
                <w:szCs w:val="20"/>
                <w:color w:val="auto"/>
              </w:rPr>
            </w:pPr>
            <w:r>
              <w:rPr>
                <w:rFonts w:ascii="Arial" w:cs="Arial" w:eastAsia="Arial" w:hAnsi="Arial"/>
                <w:sz w:val="18"/>
                <w:szCs w:val="18"/>
                <w:b w:val="1"/>
                <w:bCs w:val="1"/>
                <w:color w:val="auto"/>
              </w:rPr>
              <w:t>P.O. Box 601</w:t>
            </w:r>
          </w:p>
        </w:tc>
        <w:tc>
          <w:tcPr>
            <w:tcW w:w="7360" w:type="dxa"/>
            <w:vAlign w:val="bottom"/>
            <w:gridSpan w:val="2"/>
          </w:tcPr>
          <w:p>
            <w:pPr>
              <w:jc w:val="right"/>
              <w:spacing w:after="0"/>
              <w:rPr>
                <w:sz w:val="20"/>
                <w:szCs w:val="20"/>
                <w:color w:val="auto"/>
              </w:rPr>
            </w:pPr>
            <w:r>
              <w:rPr>
                <w:rFonts w:ascii="Arial" w:cs="Arial" w:eastAsia="Arial" w:hAnsi="Arial"/>
                <w:sz w:val="18"/>
                <w:szCs w:val="18"/>
                <w:b w:val="1"/>
                <w:bCs w:val="1"/>
                <w:color w:val="auto"/>
              </w:rPr>
              <w:t>RMI Tel.: +692-625-3602</w:t>
            </w: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RRE Commercial Center</w:t>
            </w:r>
          </w:p>
        </w:tc>
        <w:tc>
          <w:tcPr>
            <w:tcW w:w="7360" w:type="dxa"/>
            <w:vAlign w:val="bottom"/>
            <w:gridSpan w:val="2"/>
          </w:tcPr>
          <w:p>
            <w:pPr>
              <w:jc w:val="right"/>
              <w:spacing w:after="0"/>
              <w:rPr>
                <w:sz w:val="20"/>
                <w:szCs w:val="20"/>
                <w:color w:val="auto"/>
              </w:rPr>
            </w:pPr>
            <w:r>
              <w:rPr>
                <w:rFonts w:ascii="Arial" w:cs="Arial" w:eastAsia="Arial" w:hAnsi="Arial"/>
                <w:sz w:val="18"/>
                <w:szCs w:val="18"/>
                <w:b w:val="1"/>
                <w:bCs w:val="1"/>
                <w:color w:val="auto"/>
              </w:rPr>
              <w:t>Honolulu Tel.: +808-352-0749</w:t>
            </w:r>
          </w:p>
        </w:tc>
      </w:tr>
      <w:tr>
        <w:trPr>
          <w:trHeight w:val="194"/>
        </w:trPr>
        <w:tc>
          <w:tcPr>
            <w:tcW w:w="3660" w:type="dxa"/>
            <w:vAlign w:val="bottom"/>
          </w:tcPr>
          <w:p>
            <w:pPr>
              <w:spacing w:after="0" w:line="194" w:lineRule="exact"/>
              <w:rPr>
                <w:sz w:val="20"/>
                <w:szCs w:val="20"/>
                <w:color w:val="auto"/>
              </w:rPr>
            </w:pPr>
            <w:r>
              <w:rPr>
                <w:rFonts w:ascii="Arial" w:cs="Arial" w:eastAsia="Arial" w:hAnsi="Arial"/>
                <w:sz w:val="18"/>
                <w:szCs w:val="18"/>
                <w:b w:val="1"/>
                <w:bCs w:val="1"/>
                <w:color w:val="auto"/>
              </w:rPr>
              <w:t>Majuro, MH 96960 - Marshall Islands</w:t>
            </w:r>
          </w:p>
        </w:tc>
        <w:tc>
          <w:tcPr>
            <w:tcW w:w="73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Email: dreeder.rmi@gmail.com</w:t>
            </w:r>
          </w:p>
        </w:tc>
      </w:tr>
      <w:tr>
        <w:trPr>
          <w:trHeight w:val="20"/>
        </w:trPr>
        <w:tc>
          <w:tcPr>
            <w:tcW w:w="3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August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Navios Maritime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Angeliki Frangou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Avenue de Grande Bretagne, Office 11B2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Monte Carlo, MC 98000 Monaco</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Navios Maritime Partners L.P., a Marshall Islands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We are licensed to practice law in the Republic of the Marshall Islands (the “</w:t>
      </w:r>
      <w:r>
        <w:rPr>
          <w:rFonts w:ascii="Arial" w:cs="Arial" w:eastAsia="Arial" w:hAnsi="Arial"/>
          <w:sz w:val="17"/>
          <w:szCs w:val="17"/>
          <w:i w:val="1"/>
          <w:iCs w:val="1"/>
          <w:color w:val="auto"/>
        </w:rPr>
        <w:t>RMI</w:t>
      </w:r>
      <w:r>
        <w:rPr>
          <w:rFonts w:ascii="Arial" w:cs="Arial" w:eastAsia="Arial" w:hAnsi="Arial"/>
          <w:sz w:val="17"/>
          <w:szCs w:val="17"/>
          <w:color w:val="auto"/>
        </w:rPr>
        <w:t>”) and are members in good standing of the Bar of the RMI. We are acting as legal counsel in the RMI to the Partnership in connection with (i) the Partnership’s public offering from time to time of up to $22,243,642 of its common units representing limited partnership interests (the “</w:t>
      </w:r>
      <w:r>
        <w:rPr>
          <w:rFonts w:ascii="Arial" w:cs="Arial" w:eastAsia="Arial" w:hAnsi="Arial"/>
          <w:sz w:val="17"/>
          <w:szCs w:val="17"/>
          <w:i w:val="1"/>
          <w:iCs w:val="1"/>
          <w:color w:val="auto"/>
        </w:rPr>
        <w:t>Securities</w:t>
      </w:r>
      <w:r>
        <w:rPr>
          <w:rFonts w:ascii="Arial" w:cs="Arial" w:eastAsia="Arial" w:hAnsi="Arial"/>
          <w:sz w:val="17"/>
          <w:szCs w:val="17"/>
          <w:color w:val="auto"/>
        </w:rPr>
        <w:t>”), (ii) the Continuous Offering Program Sales Agreement November 18, 2016, as amended on June 2, 2017, and as further amended on August 3, 2020 (the “</w:t>
      </w:r>
      <w:r>
        <w:rPr>
          <w:rFonts w:ascii="Arial" w:cs="Arial" w:eastAsia="Arial" w:hAnsi="Arial"/>
          <w:sz w:val="17"/>
          <w:szCs w:val="17"/>
          <w:i w:val="1"/>
          <w:iCs w:val="1"/>
          <w:color w:val="auto"/>
        </w:rPr>
        <w:t>Sales Agreement</w:t>
      </w:r>
      <w:r>
        <w:rPr>
          <w:rFonts w:ascii="Arial" w:cs="Arial" w:eastAsia="Arial" w:hAnsi="Arial"/>
          <w:sz w:val="17"/>
          <w:szCs w:val="17"/>
          <w:color w:val="auto"/>
        </w:rPr>
        <w:t>”) among the Partnership, Olympos Maritime Ltd. a Marshall Islands corporation and S. Goldman Capital LLC (the “</w:t>
      </w:r>
      <w:r>
        <w:rPr>
          <w:rFonts w:ascii="Arial" w:cs="Arial" w:eastAsia="Arial" w:hAnsi="Arial"/>
          <w:sz w:val="17"/>
          <w:szCs w:val="17"/>
          <w:i w:val="1"/>
          <w:iCs w:val="1"/>
          <w:color w:val="auto"/>
        </w:rPr>
        <w:t>Agent</w:t>
      </w:r>
      <w:r>
        <w:rPr>
          <w:rFonts w:ascii="Arial" w:cs="Arial" w:eastAsia="Arial" w:hAnsi="Arial"/>
          <w:sz w:val="17"/>
          <w:szCs w:val="17"/>
          <w:color w:val="auto"/>
        </w:rPr>
        <w:t>”) and (iii) the registration statement (File No. 333-237934), including the prospectus of the Partnership, dated May 12, 2020, as supplemented by a prospectus supplement, dated August 3, 2020 (collectively, the “</w:t>
      </w:r>
      <w:r>
        <w:rPr>
          <w:rFonts w:ascii="Arial" w:cs="Arial" w:eastAsia="Arial" w:hAnsi="Arial"/>
          <w:sz w:val="17"/>
          <w:szCs w:val="17"/>
          <w:i w:val="1"/>
          <w:iCs w:val="1"/>
          <w:color w:val="auto"/>
        </w:rPr>
        <w:t>Prospectus</w:t>
      </w:r>
      <w:r>
        <w:rPr>
          <w:rFonts w:ascii="Arial" w:cs="Arial" w:eastAsia="Arial" w:hAnsi="Arial"/>
          <w:sz w:val="17"/>
          <w:szCs w:val="17"/>
          <w:color w:val="auto"/>
        </w:rPr>
        <w:t>”), with respect to the offering of the Securities (as amended,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w:t>
      </w:r>
    </w:p>
    <w:p>
      <w:pPr>
        <w:spacing w:after="0" w:line="17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This opinion has been prepared for use in connection with the filing by the Partnership of a Current Report on Form 6-K, to be filed on or about the date hereof, which will be incorporated by reference into the Registration Statement and Prospectus.</w:t>
      </w:r>
    </w:p>
    <w:p>
      <w:pPr>
        <w:spacing w:after="0" w:line="170"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In connection with this opinion, we have examined such documents as may be required to issue this opinion including the Partnership’s operational documentation and certain resolutions adopted by the Partnership’s Board of Directors relating to the offering of the Securities and such other documents or records of the proceedings of the Partnership as we have deemed relevant, and the Registration Statement and the exhibits thereto.</w:t>
      </w:r>
    </w:p>
    <w:p>
      <w:pPr>
        <w:spacing w:after="0" w:line="14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pacing w:after="0" w:line="184"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Based upon the foregoing, we are of the opinion that the Securities are duly authorized and, when issued and delivered to and paid for in accordance with the terms of the Sales Agreement, will be validly issued, fully paid and non-assessable.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020"/>
          </w:cols>
          <w:pgMar w:left="440" w:top="121" w:right="439" w:bottom="1440" w:gutter="0" w:footer="0" w:header="0"/>
        </w:sectPr>
      </w:pPr>
    </w:p>
    <w:bookmarkStart w:id="9" w:name="page10"/>
    <w:bookmarkEnd w:id="9"/>
    <w:p>
      <w:pPr>
        <w:ind w:right="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opinion is limited to the Limited Partnership laws of the Republic of the Marshall Islands, and we express no opinion with respect to the laws of any other jurisdiction. To the extent that any applicable document is stated to be governed by the laws of another jurisdiction, we have assumed for purposes of this opinion that the laws of such jurisdiction are identical to the laws of the Republic of the Marshall Islands.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Partnership, and other sources believed by us to be responsible.</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49"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We hereby consent to the filing of this opinion as Exhibit 5.1 to the above described Current Report on Form 6-K and its incorporation by reference into the Registration Statement, and to the reference to this firm under the caption “Legal Matters” in the Prospectus. In giving this consent, we do not admit that we are acting within the category of persons whose consent is required under Section 7 of the Securities Act of 1933, as amended.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Page 2</w:t>
      </w:r>
    </w:p>
    <w:p>
      <w:pPr>
        <w:sectPr>
          <w:pgSz w:w="11900" w:h="16838" w:orient="portrait"/>
          <w:cols w:equalWidth="0" w:num="1">
            <w:col w:w="10980"/>
          </w:cols>
          <w:pgMar w:left="440" w:top="27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Dennis J. Reeder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Reeder &amp; Simpson,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J. Reeder</w:t>
      </w:r>
    </w:p>
    <w:p>
      <w:pPr>
        <w:spacing w:after="0" w:line="211"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Reeder Opinion Ex. 5.1]</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2020-08-05T08:19:49Z</dcterms:created>
  <dcterms:modified xsi:type="dcterms:W3CDTF">2020-08-05T08:19:49Z</dcterms:modified>
</cp:coreProperties>
</file>