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75.3641</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4,766,578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75.4143</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4,767,678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75.5785</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4,768,783</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$74.87 to $75.81 on July 10, 2026; (2) $74.96 to $76.03 on July 13, 2026; and (3) $74.69 to $76.71 on July 14,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94,264 common units owned through Raymar Investments S.A., an entity affiliated with Ms. Frangou, pursuant to a Rule 10b5-1 trading plan with UBS Financial Services Inc as of July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95,364 common units owned through Raymar Investments S.A., an entity affiliated with Ms. Frangou, pursuant to a Rule 10b5-1 trading plan with UBS Financial Services Inc as of July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96,469 common units owned through Raymar Investments S.A., an entity affiliated with Ms. Frangou, pursuant to a Rule 10b5-1 trading plan with UBS Financial Services Inc as of July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14,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5706</Characters>
  <CharactersWithSpaces>6665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