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05/18/2026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1,163</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71.8502</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4,725,107</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05/19/2026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1,160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73.2438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4,726,267</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05/20/2026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89"/>
              <w:spacing w:after="0"/>
              <w:rPr>
                <w:sz w:val="20"/>
                <w:szCs w:val="20"/>
                <w:color w:val="auto"/>
              </w:rPr>
            </w:pPr>
            <w:r>
              <w:rPr>
                <w:rFonts w:ascii="Times New Roman" w:cs="Times New Roman" w:eastAsia="Times New Roman" w:hAnsi="Times New Roman"/>
                <w:sz w:val="17"/>
                <w:szCs w:val="17"/>
                <w:color w:val="0000FF"/>
              </w:rPr>
              <w:t>1,113</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75.4815</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4,727,380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$71.41 to $72.21 on May 18, 2026; (2) $71.78 to $74.85 on May 19, 2026; and (3) $75.00 to $75.94 on May 20,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52,793 common units owned through Raymar Investments S.A., an entity affiliated with Ms. Frangou, pursuant to a Rule 10b5-1 trading plan with UBS Financial Services Inc as of May 18,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53,953 common units owned through Raymar Investments S.A., an entity affiliated with Ms. Frangou, pursuant to a Rule 10b5-1 trading plan with UBS Financial Services Inc as of May 19,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55,066 common units owned through Raymar Investments S.A., an entity affiliated with Ms. Frangou, pursuant to a Rule 10b5-1 trading plan with UBS Financial Services Inc as of May 20,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May 20,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2026-05-20T20:11:35Z</dcterms:created>
  <dcterms:modified xsi:type="dcterms:W3CDTF">2026-05-20T20:11:35Z</dcterms:modified>
</cp:coreProperties>
</file>