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Frangou Angeliki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NAVIOS SHIPMANAGEMENT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AKTI MIAOULI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PIRAEUS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Navios Maritime Partners L.P.</w:t>
              </w:r>
            </w:hyperlink>
            <w:r>
              <w:rPr/>
              <w:t xml:space="preserve"> [ </w:t>
            </w:r>
            <w:r>
              <w:rPr>
                <w:rFonts w:ascii="Times;serif" w:hAnsi="Times;serif"/>
                <w:color w:val="0000FF"/>
                <w:sz w:val="24"/>
                <w:shd w:fill="FFFFFF" w:val="clear"/>
              </w:rPr>
              <w:t>NMM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3"/>
        <w:gridCol w:w="909"/>
        <w:gridCol w:w="780"/>
        <w:gridCol w:w="603"/>
        <w:gridCol w:w="337"/>
        <w:gridCol w:w="805"/>
        <w:gridCol w:w="419"/>
        <w:gridCol w:w="981"/>
        <w:gridCol w:w="1239"/>
        <w:gridCol w:w="958"/>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1,113</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75.1209</w:t>
            </w:r>
            <w:r>
              <w:rPr>
                <w:rFonts w:ascii="Times;serif" w:hAnsi="Times;serif"/>
                <w:color w:val="008000"/>
                <w:position w:val="7"/>
                <w:sz w:val="16"/>
                <w:sz w:val="20"/>
                <w:shd w:fill="FFFFFF" w:val="clear"/>
              </w:rPr>
              <w:t>(2)</w:t>
            </w:r>
            <w:r>
              <w:rPr/>
              <w:t xml:space="preserve"> </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4,763,242</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1,108</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76.1448</w:t>
            </w:r>
            <w:r>
              <w:rPr>
                <w:rFonts w:ascii="Times;serif" w:hAnsi="Times;serif"/>
                <w:color w:val="008000"/>
                <w:position w:val="7"/>
                <w:sz w:val="16"/>
                <w:sz w:val="20"/>
                <w:shd w:fill="FFFFFF" w:val="clear"/>
              </w:rPr>
              <w:t>(2)</w:t>
            </w:r>
            <w:r>
              <w:rPr/>
              <w:t xml:space="preserve"> </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4,764,350</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1,099</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73.7378</w:t>
            </w:r>
            <w:r>
              <w:rPr>
                <w:rFonts w:ascii="Times;serif" w:hAnsi="Times;serif"/>
                <w:color w:val="008000"/>
                <w:position w:val="7"/>
                <w:sz w:val="16"/>
                <w:sz w:val="20"/>
                <w:shd w:fill="FFFFFF" w:val="clear"/>
              </w:rPr>
              <w:t>(2)</w:t>
            </w:r>
            <w:r>
              <w:rPr/>
              <w:t xml:space="preserve"> </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4,765,449</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366,776</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General Partnership Unit</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622,296</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herein were made pursuant to a Rule 10b5-1 trading plan between Raymar Investments S.A., an entity affiliated with Ms. Frangou, and UBS Financial Services Inc. adopted on December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reported herein were effected in multiple transactions each day at prices ranging from (1) $74.50 to $75.90 on July 7, 2026; (2) $75.81 to $76.60 on July 8, 2026; and (3) $72.88 to $75.38 on July 9,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90,928 common units owned through Raymar Investments S.A., an entity affiliated with Ms. Frangou, pursuant to a Rule 10b5-1 trading plan with UBS Financial Services Inc as of July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92,036 common units owned through Raymar Investments S.A., an entity affiliated with Ms. Frangou, pursuant to a Rule 10b5-1 trading plan with UBS Financial Services Inc as of July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93,135 common units owned through Raymar Investments S.A., an entity affiliated with Ms. Frangou, pursuant to a Rule 10b5-1 trading plan with UBS Financial Services Inc as of July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Olympos Maritime Ltd., an entity affiliated with Ms. Frangou, is the general partner (the "General Partner") of Navios Maritime Partners L.P. ("NMM"). As of July 9, 2026, the General Partner owns 622,296 general partnership units, representing an approximately 2.1% ownership interest in NMM based on all outstanding common units and general partnership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&amp; Chairwoman of the Board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Mason, by POA from Angeliki Frangou, Chairwoman of the Board, Chief Executive Officer and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10495" TargetMode="External"/><Relationship Id="rId5" Type="http://schemas.openxmlformats.org/officeDocument/2006/relationships/hyperlink" Target="http://www.sec.gov/cgi-bin/browse-edgar?action=getcompany&amp;CIK=00014159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1044</Words>
  <Characters>5699</Characters>
  <CharactersWithSpaces>6658</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